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CDB8BE0" w14:textId="0B221310" w:rsidR="00526755" w:rsidRDefault="00526755" w:rsidP="001325E3">
      <w:pPr>
        <w:pStyle w:val="Sinespaciado"/>
        <w:rPr>
          <w:rFonts w:ascii="HERVALIT" w:hAnsi="HERVALIT"/>
        </w:rPr>
      </w:pPr>
    </w:p>
    <w:p w14:paraId="665FC49B" w14:textId="77777777" w:rsidR="00526755" w:rsidRDefault="00526755" w:rsidP="001325E3">
      <w:pPr>
        <w:pStyle w:val="Sinespaciado"/>
        <w:rPr>
          <w:rFonts w:ascii="HERVALIT" w:hAnsi="HERVALIT"/>
        </w:rPr>
      </w:pPr>
    </w:p>
    <w:sdt>
      <w:sdtPr>
        <w:rPr>
          <w:rFonts w:ascii="Century" w:eastAsiaTheme="majorEastAsia" w:hAnsi="Century" w:cstheme="majorBidi"/>
          <w:kern w:val="0"/>
          <w:sz w:val="24"/>
          <w:szCs w:val="24"/>
          <w:lang w:val="en-US"/>
          <w14:ligatures w14:val="none"/>
        </w:rPr>
        <w:id w:val="1513962791"/>
        <w:docPartObj>
          <w:docPartGallery w:val="Cover Pages"/>
          <w:docPartUnique/>
        </w:docPartObj>
      </w:sdtPr>
      <w:sdtEndPr>
        <w:rPr>
          <w:rFonts w:eastAsiaTheme="minorEastAsia" w:cstheme="minorBidi"/>
        </w:rPr>
      </w:sdtEndPr>
      <w:sdtContent>
        <w:p w14:paraId="08AF8563" w14:textId="77777777" w:rsidR="00820B99" w:rsidRPr="0091194F" w:rsidRDefault="00820B99" w:rsidP="00820B99">
          <w:pPr>
            <w:pStyle w:val="Sinespaciado"/>
            <w:rPr>
              <w:rFonts w:ascii="Century" w:hAnsi="Century"/>
              <w:sz w:val="24"/>
              <w:szCs w:val="24"/>
            </w:rPr>
          </w:pPr>
          <w:r w:rsidRPr="0091194F">
            <w:rPr>
              <w:rFonts w:ascii="Century" w:hAnsi="Century"/>
              <w:noProof/>
              <w:sz w:val="24"/>
              <w:szCs w:val="24"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2A1A539B" wp14:editId="4F0621BF">
                    <wp:simplePos x="0" y="0"/>
                    <wp:positionH relativeFrom="page">
                      <wp:align>center</wp:align>
                    </wp:positionH>
                    <wp:positionV relativeFrom="topMargin">
                      <wp:align>top</wp:align>
                    </wp:positionV>
                    <wp:extent cx="8161020" cy="781050"/>
                    <wp:effectExtent l="57150" t="38100" r="100965" b="114300"/>
                    <wp:wrapNone/>
                    <wp:docPr id="10" name="Rectángulo 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8161020" cy="781050"/>
                            </a:xfrm>
                            <a:prstGeom prst="rect">
                              <a:avLst/>
                            </a:prstGeom>
                            <a:solidFill>
                              <a:schemeClr val="tx2">
                                <a:lumMod val="75000"/>
                              </a:schemeClr>
                            </a:solidFill>
                            <a:ln>
                              <a:headEnd/>
                              <a:tailEnd/>
                            </a:ln>
                          </wps:spPr>
                          <wps:style>
                            <a:lnRef idx="0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3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105000</wp14:pctWidth>
                    </wp14:sizeRelH>
                    <wp14:sizeRelV relativeFrom="topMargin">
                      <wp14:pctHeight>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1865D4A1" id="Rectángulo 3" o:spid="_x0000_s1026" style="position:absolute;margin-left:0;margin-top:0;width:642.6pt;height:61.5pt;z-index:251659264;visibility:visible;mso-wrap-style:square;mso-width-percent:1050;mso-height-percent:0;mso-wrap-distance-left:9pt;mso-wrap-distance-top:0;mso-wrap-distance-right:9pt;mso-wrap-distance-bottom:0;mso-position-horizontal:center;mso-position-horizontal-relative:page;mso-position-vertical:top;mso-position-vertical-relative:top-margin-area;mso-width-percent:1050;mso-height-percent:0;mso-width-relative:page;mso-height-relative:top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" o:allowincell="f" fillcolor="#323e4f [2415]" stroked="f">
                    <v:shadow on="t" color="black" opacity="41287f" offset="0,1.5pt"/>
                    <w10:wrap anchorx="page" anchory="margin"/>
                  </v:rect>
                </w:pict>
              </mc:Fallback>
            </mc:AlternateContent>
          </w:r>
          <w:r w:rsidRPr="0091194F">
            <w:rPr>
              <w:rFonts w:ascii="Century" w:hAnsi="Century"/>
              <w:noProof/>
              <w:sz w:val="24"/>
              <w:szCs w:val="24"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0" allowOverlap="1" wp14:anchorId="39497E52" wp14:editId="537FD2C6">
                    <wp:simplePos x="0" y="0"/>
                    <wp:positionH relativeFrom="lef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8" name="Rectángulo 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334CB925" id="Rectángulo 5" o:spid="_x0000_s1026" style="position:absolute;margin-left:0;margin-top:0;width:7.15pt;height:831.2pt;z-index:251661312;visibility:visible;mso-wrap-style:square;mso-width-percent:0;mso-height-percent:1050;mso-wrap-distance-left:9pt;mso-wrap-distance-top:0;mso-wrap-distance-right:9pt;mso-wrap-distance-bottom:0;mso-position-horizontal:center;mso-position-horizontal-relative:lef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" o:allowincell="f" strokecolor="#5b9bd5 [3204]">
                    <w10:wrap anchorx="margin" anchory="page"/>
                  </v:rect>
                </w:pict>
              </mc:Fallback>
            </mc:AlternateContent>
          </w:r>
          <w:r w:rsidRPr="0091194F">
            <w:rPr>
              <w:rFonts w:ascii="Century" w:hAnsi="Century"/>
              <w:noProof/>
              <w:sz w:val="24"/>
              <w:szCs w:val="24"/>
              <w:lang w:eastAsia="es-DO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0" allowOverlap="1" wp14:anchorId="69C5DE9A" wp14:editId="66F9B0A1">
                    <wp:simplePos x="0" y="0"/>
                    <wp:positionH relativeFrom="rightMargin">
                      <wp:align>center</wp:align>
                    </wp:positionH>
                    <wp:positionV relativeFrom="page">
                      <wp:align>center</wp:align>
                    </wp:positionV>
                    <wp:extent cx="90805" cy="10556240"/>
                    <wp:effectExtent l="0" t="0" r="4445" b="5080"/>
                    <wp:wrapNone/>
                    <wp:docPr id="9" name="Rectángulo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90805" cy="105562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accent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105000</wp14:pctHeight>
                    </wp14:sizeRelV>
                  </wp:anchor>
                </w:drawing>
              </mc:Choice>
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<w:pict>
                  <v:rect w14:anchorId="00A4ED06" id="Rectángulo 4" o:spid="_x0000_s1026" style="position:absolute;margin-left:0;margin-top:0;width:7.15pt;height:831.2pt;z-index:251660288;visibility:visible;mso-wrap-style:square;mso-width-percent:0;mso-height-percent:105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10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" o:allowincell="f" strokecolor="#5b9bd5 [3204]">
                    <w10:wrap anchorx="margin" anchory="page"/>
                  </v:rect>
                </w:pict>
              </mc:Fallback>
            </mc:AlternateContent>
          </w:r>
        </w:p>
        <w:p w14:paraId="509CEA79" w14:textId="77777777" w:rsidR="00820B99" w:rsidRPr="0091194F" w:rsidRDefault="006D0697" w:rsidP="00820B99">
          <w:pPr>
            <w:rPr>
              <w:rFonts w:ascii="Century" w:hAnsi="Century"/>
              <w:sz w:val="24"/>
              <w:szCs w:val="24"/>
            </w:rPr>
          </w:pPr>
        </w:p>
      </w:sdtContent>
    </w:sdt>
    <w:p w14:paraId="2EDC170C" w14:textId="77777777" w:rsidR="00820B99" w:rsidRPr="0091194F" w:rsidRDefault="00820B99" w:rsidP="00820B99">
      <w:pPr>
        <w:rPr>
          <w:rFonts w:ascii="Century" w:hAnsi="Century"/>
          <w:sz w:val="24"/>
          <w:szCs w:val="24"/>
        </w:rPr>
      </w:pPr>
      <w:bookmarkStart w:id="0" w:name="_GoBack"/>
      <w:bookmarkEnd w:id="0"/>
    </w:p>
    <w:p w14:paraId="4C6D0133" w14:textId="77777777" w:rsidR="00820B99" w:rsidRPr="0091194F" w:rsidRDefault="00820B99" w:rsidP="00820B99">
      <w:pPr>
        <w:rPr>
          <w:rFonts w:ascii="Century" w:hAnsi="Century"/>
          <w:sz w:val="24"/>
          <w:szCs w:val="24"/>
        </w:rPr>
      </w:pPr>
    </w:p>
    <w:p w14:paraId="0CD3D334" w14:textId="7F77CB7A" w:rsidR="00820B99" w:rsidRPr="0091194F" w:rsidRDefault="00D6057B" w:rsidP="00820B99">
      <w:pPr>
        <w:jc w:val="center"/>
        <w:rPr>
          <w:rFonts w:ascii="Century" w:hAnsi="Century"/>
          <w:sz w:val="24"/>
          <w:szCs w:val="24"/>
        </w:rPr>
      </w:pPr>
      <w:r>
        <w:rPr>
          <w:noProof/>
          <w:lang w:val="es-DO" w:eastAsia="es-DO"/>
          <w14:ligatures w14:val="standardContextual"/>
        </w:rPr>
        <w:drawing>
          <wp:inline distT="0" distB="0" distL="0" distR="0" wp14:anchorId="31C5F504" wp14:editId="49C4904A">
            <wp:extent cx="4550759" cy="1941616"/>
            <wp:effectExtent l="0" t="0" r="2540" b="1905"/>
            <wp:docPr id="2" name="Imagen 1">
              <a:extLst xmlns:a="http://schemas.openxmlformats.org/drawingml/2006/main">
                <a:ext uri="{FF2B5EF4-FFF2-40B4-BE49-F238E27FC236}">
                  <a16:creationId xmlns:a16="http://schemas.microsoft.com/office/drawing/2014/main" id="{791BB1DA-B19B-42CA-90C4-E0AFB639107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1">
                      <a:extLst>
                        <a:ext uri="{FF2B5EF4-FFF2-40B4-BE49-F238E27FC236}">
                          <a16:creationId xmlns:a16="http://schemas.microsoft.com/office/drawing/2014/main" id="{791BB1DA-B19B-42CA-90C4-E0AFB639107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87490" cy="19572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24EB" w14:textId="77777777" w:rsidR="00820B99" w:rsidRDefault="00820B99" w:rsidP="00820B99">
      <w:pPr>
        <w:rPr>
          <w:rFonts w:ascii="Century" w:hAnsi="Century"/>
          <w:b/>
          <w:sz w:val="48"/>
          <w:szCs w:val="48"/>
        </w:rPr>
      </w:pPr>
    </w:p>
    <w:p w14:paraId="5E471998" w14:textId="77777777" w:rsidR="00820B99" w:rsidRDefault="00820B99" w:rsidP="00820B99">
      <w:pPr>
        <w:rPr>
          <w:rFonts w:ascii="Century" w:hAnsi="Century"/>
          <w:b/>
          <w:sz w:val="48"/>
          <w:szCs w:val="48"/>
        </w:rPr>
      </w:pPr>
    </w:p>
    <w:p w14:paraId="68ADCE55" w14:textId="77777777" w:rsidR="00820B99" w:rsidRPr="00D6057B" w:rsidRDefault="00820B99" w:rsidP="00820B99">
      <w:pPr>
        <w:jc w:val="center"/>
        <w:rPr>
          <w:rFonts w:ascii="HERVALIT" w:hAnsi="HERVALIT"/>
          <w:b/>
          <w:color w:val="002060"/>
          <w:sz w:val="48"/>
          <w:szCs w:val="48"/>
          <w:lang w:val="es-DO"/>
        </w:rPr>
      </w:pPr>
      <w:r w:rsidRPr="00D6057B">
        <w:rPr>
          <w:rFonts w:ascii="HERVALIT" w:hAnsi="HERVALIT"/>
          <w:b/>
          <w:color w:val="002060"/>
          <w:sz w:val="48"/>
          <w:szCs w:val="48"/>
          <w:lang w:val="es-DO"/>
        </w:rPr>
        <w:t>NOTAS A LOS</w:t>
      </w:r>
    </w:p>
    <w:p w14:paraId="6ED18538" w14:textId="77777777" w:rsidR="00820B99" w:rsidRPr="00D6057B" w:rsidRDefault="00820B99" w:rsidP="00820B99">
      <w:pPr>
        <w:pStyle w:val="Ttulo2"/>
        <w:jc w:val="center"/>
        <w:rPr>
          <w:rFonts w:ascii="HERVALIT" w:hAnsi="HERVALIT"/>
          <w:color w:val="323E4F" w:themeColor="text2" w:themeShade="BF"/>
          <w:sz w:val="48"/>
          <w:szCs w:val="48"/>
        </w:rPr>
      </w:pPr>
      <w:r w:rsidRPr="00D6057B">
        <w:rPr>
          <w:rFonts w:ascii="HERVALIT" w:hAnsi="HERVALIT"/>
          <w:color w:val="323E4F" w:themeColor="text2" w:themeShade="BF"/>
          <w:sz w:val="48"/>
          <w:szCs w:val="48"/>
        </w:rPr>
        <w:t>ESTADOS FINANCIEROS</w:t>
      </w:r>
    </w:p>
    <w:p w14:paraId="76F09639" w14:textId="50B56496" w:rsidR="00820B99" w:rsidRPr="00D6057B" w:rsidRDefault="00820B99" w:rsidP="00820B99">
      <w:pPr>
        <w:pStyle w:val="Ttulo2"/>
        <w:jc w:val="center"/>
        <w:rPr>
          <w:rFonts w:ascii="HERVALIT" w:hAnsi="HERVALIT"/>
          <w:color w:val="323E4F" w:themeColor="text2" w:themeShade="BF"/>
          <w:sz w:val="48"/>
          <w:szCs w:val="48"/>
        </w:rPr>
      </w:pPr>
      <w:r w:rsidRPr="00D6057B">
        <w:rPr>
          <w:rFonts w:ascii="HERVALIT" w:hAnsi="HERVALIT"/>
          <w:color w:val="323E4F" w:themeColor="text2" w:themeShade="BF"/>
          <w:sz w:val="48"/>
          <w:szCs w:val="48"/>
        </w:rPr>
        <w:t xml:space="preserve">ENERO </w:t>
      </w:r>
      <w:r w:rsidR="00A3278E">
        <w:rPr>
          <w:rFonts w:ascii="HERVALIT" w:hAnsi="HERVALIT"/>
          <w:color w:val="323E4F" w:themeColor="text2" w:themeShade="BF"/>
          <w:sz w:val="48"/>
          <w:szCs w:val="48"/>
        </w:rPr>
        <w:t xml:space="preserve">- </w:t>
      </w:r>
      <w:r w:rsidR="00D6057B">
        <w:rPr>
          <w:rFonts w:ascii="HERVALIT" w:hAnsi="HERVALIT"/>
          <w:color w:val="323E4F" w:themeColor="text2" w:themeShade="BF"/>
          <w:sz w:val="48"/>
          <w:szCs w:val="48"/>
        </w:rPr>
        <w:t>JUNIO</w:t>
      </w:r>
      <w:r w:rsidRPr="00D6057B">
        <w:rPr>
          <w:rFonts w:ascii="HERVALIT" w:hAnsi="HERVALIT"/>
          <w:color w:val="323E4F" w:themeColor="text2" w:themeShade="BF"/>
          <w:sz w:val="48"/>
          <w:szCs w:val="48"/>
        </w:rPr>
        <w:t xml:space="preserve"> </w:t>
      </w:r>
    </w:p>
    <w:p w14:paraId="06C003AB" w14:textId="5D205DA7" w:rsidR="00820B99" w:rsidRPr="00D6057B" w:rsidRDefault="00820B99" w:rsidP="00820B99">
      <w:pPr>
        <w:pStyle w:val="Ttulo2"/>
        <w:jc w:val="center"/>
        <w:rPr>
          <w:rFonts w:ascii="HERVALIT" w:hAnsi="HERVALIT"/>
          <w:color w:val="323E4F" w:themeColor="text2" w:themeShade="BF"/>
          <w:sz w:val="48"/>
          <w:szCs w:val="48"/>
        </w:rPr>
      </w:pPr>
      <w:r w:rsidRPr="00D6057B">
        <w:rPr>
          <w:rFonts w:ascii="HERVALIT" w:hAnsi="HERVALIT"/>
          <w:color w:val="323E4F" w:themeColor="text2" w:themeShade="BF"/>
          <w:sz w:val="48"/>
          <w:szCs w:val="48"/>
        </w:rPr>
        <w:t>202</w:t>
      </w:r>
      <w:r w:rsidR="00D6057B">
        <w:rPr>
          <w:rFonts w:ascii="HERVALIT" w:hAnsi="HERVALIT"/>
          <w:color w:val="323E4F" w:themeColor="text2" w:themeShade="BF"/>
          <w:sz w:val="48"/>
          <w:szCs w:val="48"/>
        </w:rPr>
        <w:t>6</w:t>
      </w:r>
    </w:p>
    <w:p w14:paraId="0F596D73" w14:textId="77777777" w:rsidR="00820B99" w:rsidRPr="00820B99" w:rsidRDefault="00820B99" w:rsidP="00820B99">
      <w:pPr>
        <w:rPr>
          <w:rFonts w:ascii="Century" w:hAnsi="Century"/>
          <w:sz w:val="24"/>
          <w:szCs w:val="24"/>
          <w:lang w:val="es-DO"/>
        </w:rPr>
      </w:pPr>
    </w:p>
    <w:p w14:paraId="74C87C56" w14:textId="77777777" w:rsidR="00820B99" w:rsidRPr="00820B99" w:rsidRDefault="00820B99" w:rsidP="00820B99">
      <w:pPr>
        <w:rPr>
          <w:rFonts w:ascii="Century" w:hAnsi="Century"/>
          <w:sz w:val="24"/>
          <w:szCs w:val="24"/>
          <w:lang w:val="es-DO"/>
        </w:rPr>
      </w:pPr>
    </w:p>
    <w:p w14:paraId="4A56EBD9" w14:textId="77777777" w:rsidR="00820B99" w:rsidRPr="00820B99" w:rsidRDefault="00820B99" w:rsidP="00820B99">
      <w:pPr>
        <w:rPr>
          <w:rFonts w:ascii="Century" w:hAnsi="Century"/>
          <w:sz w:val="24"/>
          <w:szCs w:val="24"/>
          <w:lang w:val="es-DO"/>
        </w:rPr>
      </w:pPr>
    </w:p>
    <w:p w14:paraId="03A2C05F" w14:textId="77777777" w:rsidR="00820B99" w:rsidRPr="00820B99" w:rsidRDefault="00820B99" w:rsidP="00820B99">
      <w:pPr>
        <w:rPr>
          <w:rFonts w:ascii="Century" w:hAnsi="Century"/>
          <w:sz w:val="24"/>
          <w:szCs w:val="24"/>
          <w:lang w:val="es-DO"/>
        </w:rPr>
      </w:pPr>
    </w:p>
    <w:p w14:paraId="15BABC81" w14:textId="77777777" w:rsidR="00820B99" w:rsidRPr="00820B99" w:rsidRDefault="00820B99" w:rsidP="00820B99">
      <w:pPr>
        <w:rPr>
          <w:rFonts w:ascii="Century" w:hAnsi="Century"/>
          <w:sz w:val="24"/>
          <w:szCs w:val="24"/>
          <w:lang w:val="es-DO"/>
        </w:rPr>
      </w:pPr>
    </w:p>
    <w:p w14:paraId="30D7E33E" w14:textId="6BCC57CF" w:rsidR="00DF3B89" w:rsidRPr="00DF3B89" w:rsidRDefault="00DF3B89" w:rsidP="00DF3B89">
      <w:pPr>
        <w:pStyle w:val="Sinespaciado"/>
        <w:ind w:firstLine="708"/>
        <w:jc w:val="both"/>
        <w:rPr>
          <w:rFonts w:ascii="HERVALIT" w:hAnsi="HERVALIT"/>
          <w:b/>
          <w:bCs/>
        </w:rPr>
      </w:pPr>
      <w:r w:rsidRPr="00DF3B89">
        <w:rPr>
          <w:rFonts w:ascii="HERVALIT" w:hAnsi="HERVALIT"/>
          <w:b/>
          <w:bCs/>
        </w:rPr>
        <w:lastRenderedPageBreak/>
        <w:t>Nota 1: Entidad económica</w:t>
      </w:r>
    </w:p>
    <w:p w14:paraId="2D271A13" w14:textId="77777777" w:rsidR="000F30D4" w:rsidRPr="000F30D4" w:rsidRDefault="000F30D4" w:rsidP="000F30D4">
      <w:pPr>
        <w:pStyle w:val="Sinespaciado"/>
        <w:jc w:val="both"/>
        <w:rPr>
          <w:rFonts w:ascii="HERVALIT" w:hAnsi="HERVALIT"/>
        </w:rPr>
      </w:pPr>
    </w:p>
    <w:p w14:paraId="01B37E42" w14:textId="45B10AF4" w:rsidR="004123BD" w:rsidRDefault="004123BD" w:rsidP="004123BD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La </w:t>
      </w:r>
      <w:r w:rsidR="007B6E88">
        <w:rPr>
          <w:rFonts w:ascii="HERVALIT" w:hAnsi="HERVALIT"/>
        </w:rPr>
        <w:t>Dirección</w:t>
      </w:r>
      <w:r w:rsidRPr="00FE4D42">
        <w:rPr>
          <w:rFonts w:ascii="HERVALIT" w:hAnsi="HERVALIT"/>
        </w:rPr>
        <w:t xml:space="preserve"> General de Bienes Nacionales es una de las más importantes dependencias del</w:t>
      </w:r>
      <w:r w:rsidR="008221B3">
        <w:rPr>
          <w:rFonts w:ascii="HERVALIT" w:hAnsi="HERVALIT"/>
        </w:rPr>
        <w:t xml:space="preserve"> </w:t>
      </w:r>
      <w:r w:rsidRPr="00FE4D42">
        <w:rPr>
          <w:rFonts w:ascii="HERVALIT" w:hAnsi="HERVALIT"/>
        </w:rPr>
        <w:t>Estado. Llamada a resguardar y contabilizar escrupulosamente los bienes de la nación, debe</w:t>
      </w:r>
      <w:r w:rsidR="008221B3">
        <w:rPr>
          <w:rFonts w:ascii="HERVALIT" w:hAnsi="HERVALIT"/>
        </w:rPr>
        <w:t xml:space="preserve"> </w:t>
      </w:r>
      <w:r w:rsidRPr="00FE4D42">
        <w:rPr>
          <w:rFonts w:ascii="HERVALIT" w:hAnsi="HERVALIT"/>
        </w:rPr>
        <w:t>cumplir como un sacerdocio la tan inmensa responsabilidad que la ley misma le ha conferido.</w:t>
      </w:r>
      <w:r w:rsidR="00CA7D68">
        <w:rPr>
          <w:rFonts w:ascii="HERVALIT" w:hAnsi="HERVALIT"/>
        </w:rPr>
        <w:t xml:space="preserve"> Tiene su </w:t>
      </w:r>
      <w:r w:rsidR="00CA7D68" w:rsidRPr="000F30D4">
        <w:rPr>
          <w:rFonts w:ascii="HERVALIT" w:hAnsi="HERVALIT"/>
        </w:rPr>
        <w:t>domicilio principal en la Calle Fray Cipriano de Utrera # 1, Centro de los Héroes, La Feria, Santo Domingo, Distrito Nacional, Capital de la Republica Dominicana</w:t>
      </w:r>
      <w:r w:rsidR="00CA7D68">
        <w:rPr>
          <w:rFonts w:ascii="HERVALIT" w:hAnsi="HERVALIT"/>
        </w:rPr>
        <w:t>.</w:t>
      </w:r>
    </w:p>
    <w:p w14:paraId="69A7F149" w14:textId="77777777" w:rsidR="00A57267" w:rsidRDefault="00A57267" w:rsidP="004123BD">
      <w:pPr>
        <w:pStyle w:val="Sinespaciado"/>
        <w:jc w:val="both"/>
        <w:rPr>
          <w:rFonts w:ascii="HERVALIT" w:hAnsi="HERVALIT"/>
        </w:rPr>
      </w:pPr>
    </w:p>
    <w:p w14:paraId="02F4AFD2" w14:textId="77777777" w:rsidR="00A57267" w:rsidRPr="001325E3" w:rsidRDefault="00A57267" w:rsidP="00A57267">
      <w:pPr>
        <w:pStyle w:val="Sinespaciado"/>
        <w:jc w:val="both"/>
        <w:rPr>
          <w:rFonts w:ascii="HERVALIT" w:hAnsi="HERVALIT"/>
        </w:rPr>
      </w:pPr>
      <w:r w:rsidRPr="001325E3">
        <w:rPr>
          <w:rFonts w:ascii="HERVALIT" w:hAnsi="HERVALIT"/>
        </w:rPr>
        <w:t xml:space="preserve">Los estados financieros presentados están conformados por las operaciones presupuestarias, no </w:t>
      </w:r>
    </w:p>
    <w:p w14:paraId="3E880355" w14:textId="0009B9E6" w:rsidR="00A57267" w:rsidRDefault="00A57267" w:rsidP="00A57267">
      <w:pPr>
        <w:pStyle w:val="Sinespaciado"/>
        <w:jc w:val="both"/>
        <w:rPr>
          <w:rFonts w:ascii="HERVALIT" w:hAnsi="HERVALIT"/>
        </w:rPr>
      </w:pPr>
      <w:r w:rsidRPr="001325E3">
        <w:rPr>
          <w:rFonts w:ascii="HERVALIT" w:hAnsi="HERVALIT"/>
        </w:rPr>
        <w:t>presupuestarias, movimientos del tesoro y movimientos de la deuda pública.</w:t>
      </w:r>
    </w:p>
    <w:p w14:paraId="4B588F68" w14:textId="77777777" w:rsidR="00DF3B89" w:rsidRDefault="00DF3B89" w:rsidP="00A57267">
      <w:pPr>
        <w:pStyle w:val="Sinespaciado"/>
        <w:jc w:val="both"/>
        <w:rPr>
          <w:rFonts w:ascii="HERVALIT" w:hAnsi="HERVALIT"/>
        </w:rPr>
      </w:pPr>
    </w:p>
    <w:p w14:paraId="675EE752" w14:textId="6EB05444" w:rsidR="00DF3B89" w:rsidRDefault="00DF3B89" w:rsidP="00A57267">
      <w:pPr>
        <w:pStyle w:val="Sinespaciado"/>
        <w:jc w:val="both"/>
        <w:rPr>
          <w:rFonts w:ascii="HERVALIT" w:hAnsi="HERVALIT"/>
        </w:rPr>
      </w:pPr>
      <w:r w:rsidRPr="001325E3">
        <w:rPr>
          <w:rFonts w:ascii="HERVALIT" w:hAnsi="HERVALIT"/>
        </w:rPr>
        <w:t>De conformidad con el artículo 4 de la Ley núm. 423</w:t>
      </w:r>
      <w:r>
        <w:rPr>
          <w:rFonts w:ascii="HERVALIT" w:hAnsi="HERVALIT"/>
        </w:rPr>
        <w:t>-</w:t>
      </w:r>
      <w:r w:rsidRPr="001325E3">
        <w:rPr>
          <w:rFonts w:ascii="HERVALIT" w:hAnsi="HERVALIT"/>
        </w:rPr>
        <w:t>06, Orgánica de Presupuesto para el Sector Público</w:t>
      </w:r>
      <w:r>
        <w:rPr>
          <w:rFonts w:ascii="HERVALIT" w:hAnsi="HERVALIT"/>
        </w:rPr>
        <w:t>.</w:t>
      </w:r>
    </w:p>
    <w:p w14:paraId="7E744CE4" w14:textId="77777777" w:rsidR="00050D4F" w:rsidRDefault="00050D4F" w:rsidP="004123BD">
      <w:pPr>
        <w:pStyle w:val="Sinespaciado"/>
        <w:jc w:val="both"/>
        <w:rPr>
          <w:rFonts w:ascii="HERVALIT" w:hAnsi="HERVALIT"/>
        </w:rPr>
      </w:pPr>
    </w:p>
    <w:p w14:paraId="61C65D6B" w14:textId="2419253C" w:rsidR="006E2AC3" w:rsidRPr="002B087A" w:rsidRDefault="006E2AC3" w:rsidP="002B087A">
      <w:pPr>
        <w:pStyle w:val="Sinespaciado"/>
        <w:numPr>
          <w:ilvl w:val="0"/>
          <w:numId w:val="16"/>
        </w:numPr>
        <w:jc w:val="both"/>
        <w:rPr>
          <w:rFonts w:ascii="HERVALIT" w:hAnsi="HERVALIT"/>
          <w:b/>
          <w:bCs/>
        </w:rPr>
      </w:pPr>
      <w:r w:rsidRPr="002B087A">
        <w:rPr>
          <w:rFonts w:ascii="HERVALIT" w:hAnsi="HERVALIT"/>
          <w:b/>
          <w:bCs/>
        </w:rPr>
        <w:t>Base legal</w:t>
      </w:r>
    </w:p>
    <w:p w14:paraId="32E248D4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76AB639B" w14:textId="11736125" w:rsidR="006E2AC3" w:rsidRPr="007B6E88" w:rsidRDefault="006E2AC3" w:rsidP="00CD7109">
      <w:pPr>
        <w:pStyle w:val="Sinespaciado"/>
        <w:numPr>
          <w:ilvl w:val="0"/>
          <w:numId w:val="10"/>
        </w:numPr>
        <w:jc w:val="both"/>
        <w:rPr>
          <w:rFonts w:ascii="HERVALIT" w:hAnsi="HERVALIT"/>
          <w:b/>
          <w:bCs/>
        </w:rPr>
      </w:pPr>
      <w:r w:rsidRPr="007B6E88">
        <w:rPr>
          <w:rFonts w:ascii="HERVALIT" w:hAnsi="HERVALIT"/>
          <w:b/>
          <w:bCs/>
        </w:rPr>
        <w:t>Leyes</w:t>
      </w:r>
    </w:p>
    <w:p w14:paraId="6A6073B3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0C912263" w14:textId="27B24738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>Ley 1832 que crea la dirección General de Bienes Nacionales en fecha 3 de Noviembre de 1948.</w:t>
      </w:r>
    </w:p>
    <w:p w14:paraId="2B25AD58" w14:textId="77777777" w:rsidR="00D8637B" w:rsidRDefault="00D8637B" w:rsidP="006E2AC3">
      <w:pPr>
        <w:pStyle w:val="Sinespaciado"/>
        <w:jc w:val="both"/>
        <w:rPr>
          <w:rFonts w:ascii="HERVALIT" w:hAnsi="HERVALIT"/>
        </w:rPr>
      </w:pPr>
    </w:p>
    <w:p w14:paraId="0F11AD73" w14:textId="77777777" w:rsidR="00D8637B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 xml:space="preserve">VISTA: La Constitución de la República Dominicana, proclamada el </w:t>
      </w:r>
      <w:r>
        <w:rPr>
          <w:rFonts w:ascii="HERVALIT" w:hAnsi="HERVALIT"/>
        </w:rPr>
        <w:t>27</w:t>
      </w:r>
      <w:r w:rsidRPr="008C1E71">
        <w:rPr>
          <w:rFonts w:ascii="HERVALIT" w:hAnsi="HERVALIT"/>
        </w:rPr>
        <w:t xml:space="preserve"> de </w:t>
      </w:r>
      <w:r>
        <w:rPr>
          <w:rFonts w:ascii="HERVALIT" w:hAnsi="HERVALIT"/>
        </w:rPr>
        <w:t>octubre</w:t>
      </w:r>
      <w:r w:rsidRPr="008C1E71">
        <w:rPr>
          <w:rFonts w:ascii="HERVALIT" w:hAnsi="HERVALIT"/>
        </w:rPr>
        <w:t xml:space="preserve"> del 20</w:t>
      </w:r>
      <w:r>
        <w:rPr>
          <w:rFonts w:ascii="HERVALIT" w:hAnsi="HERVALIT"/>
        </w:rPr>
        <w:t>24</w:t>
      </w:r>
      <w:r w:rsidRPr="008C1E71">
        <w:rPr>
          <w:rFonts w:ascii="HERVALIT" w:hAnsi="HERVALIT"/>
        </w:rPr>
        <w:t>.</w:t>
      </w:r>
    </w:p>
    <w:p w14:paraId="3437BD2A" w14:textId="77777777" w:rsidR="00D8637B" w:rsidRDefault="00D8637B" w:rsidP="00D8637B">
      <w:pPr>
        <w:pStyle w:val="Sinespaciado"/>
        <w:jc w:val="both"/>
        <w:rPr>
          <w:rFonts w:ascii="HERVALIT" w:hAnsi="HERVALIT"/>
        </w:rPr>
      </w:pPr>
    </w:p>
    <w:p w14:paraId="5960CA6D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126-01, que crea la Dirección General de Contabilidad Gubernamental, del 27 de julio del 2001.</w:t>
      </w:r>
    </w:p>
    <w:p w14:paraId="71428D17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212B8EDD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567-05 de Tesorería Nacional, del 30 de diciembre del 2005.</w:t>
      </w:r>
    </w:p>
    <w:p w14:paraId="1F147028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6E1F6706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6-06 de Crédito Público, del 20 de enero del 2006.</w:t>
      </w:r>
    </w:p>
    <w:p w14:paraId="45C04FBC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7DBFB131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423-06 Orgánica de Presupuesto para el Sector Público, del 17 de noviembre del 2006.</w:t>
      </w:r>
    </w:p>
    <w:p w14:paraId="3DFD9318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4400E7F2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494-06 de Organización de la Secretaría de Estado de Hacienda, del 27 de diciembre del 2006.</w:t>
      </w:r>
    </w:p>
    <w:p w14:paraId="71CEFBC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2C9E5C29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498-06, de Planificación e Inversión Pública, del 28 de diciembre del 2006.</w:t>
      </w:r>
    </w:p>
    <w:p w14:paraId="52425A66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5692DC29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5-07, que crea el Sistema Integrado de Administración Financiera del Estado (SIAFE), del 8 de enero del 2007.</w:t>
      </w:r>
    </w:p>
    <w:p w14:paraId="5B14FA51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4ED3E511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10-07 que instituye el Sistema Nacional de Control Interno y de la Contraloría General de la República, del 8 de enero del 2007.</w:t>
      </w:r>
    </w:p>
    <w:p w14:paraId="3207AFBE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6BEDDB72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176-07 del Distrito Nacional y de los Municipios, del 17 de julio del 2007.</w:t>
      </w:r>
    </w:p>
    <w:p w14:paraId="1F0892F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26F9B1AB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lastRenderedPageBreak/>
        <w:t>VISTA: La Ley núm. 80-23 de Presupuesto General del Estado para el Ejercicio Presupuestario del año 2024, promulgada en fecha 20 de diciembre del año 2023.</w:t>
      </w:r>
    </w:p>
    <w:p w14:paraId="5421B49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2C1A5CB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Ley núm. 189-11, sobre el Desarrollo del Mercado Hipotecario y el Fideicomiso en la República Dominicana, y sus modificaciones del 16 de julio del 2011.</w:t>
      </w:r>
    </w:p>
    <w:p w14:paraId="0A640AD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3AFF8CB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441-06, que aprueba el Reglamento de Aplicación de la Ley Orgánica de la Tesorería Nacional, del 03 de octubre del 2006.</w:t>
      </w:r>
    </w:p>
    <w:p w14:paraId="78C69A2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7613C6A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630-06, que aprueba el Reglamento de Aplicación de la Ley Orgánica de Crédito Público, del 27 de diciembre del 2006.</w:t>
      </w:r>
    </w:p>
    <w:p w14:paraId="6FB9708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381DCB5F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491-07, que aprueba el Reglamento de Aplicación de la Ley núm. 10-07, que instituye el Sistema Nacional de Control Interno y de la Contraloría General de la República, del 30 de agosto del 2007.</w:t>
      </w:r>
    </w:p>
    <w:p w14:paraId="6A0FD28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7C0B7447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492-07, que aprueba el Reglamento de Aplicación de la Ley Orgánica de Presupuesto para el Sector Público, del 30 de agosto del 2007.</w:t>
      </w:r>
    </w:p>
    <w:p w14:paraId="5E78CAB1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5B04CEBA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493-07 que aprueba el Reglamento de Aplicación núm. 1 para la Ley núm. 498-06 de Planificación e Inversión Pública, del 30 de agosto del 2007.</w:t>
      </w:r>
    </w:p>
    <w:p w14:paraId="627B9B05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3AF70CC6" w14:textId="77777777" w:rsidR="00D8637B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decreto núm. 526-09, que aprueba el Reglamento de Aplicación de la Ley núm.</w:t>
      </w:r>
    </w:p>
    <w:p w14:paraId="32B1C85F" w14:textId="77777777" w:rsidR="00D8637B" w:rsidRDefault="00D8637B" w:rsidP="00D8637B">
      <w:pPr>
        <w:pStyle w:val="Sinespaciado"/>
        <w:jc w:val="both"/>
        <w:rPr>
          <w:rFonts w:ascii="HERVALIT" w:hAnsi="HERVALIT"/>
        </w:rPr>
      </w:pPr>
    </w:p>
    <w:p w14:paraId="6960A014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Norma para el Manejo de los Gastos Menores y Caja Chica de las Instituciones Descentralizadas y las de la Seguridad Social, emitida por la Tesorería Nacional en fecha del 25 de febrero del 2014.</w:t>
      </w:r>
    </w:p>
    <w:p w14:paraId="3AEA089E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3F5957B6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Norma para la Gestión de Gastos Menores y Caja Chica de las Empresas Públicas no Financieras, emitida por la Tesorería Nacional, del 01 de diciembre del 2021.</w:t>
      </w:r>
    </w:p>
    <w:p w14:paraId="6186B170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07520B1B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Norma de Anticipos Financieros (Fondos en Avance, Reponibles y Liquidables) modificada y aprobada mediante la resolución núm. 00</w:t>
      </w:r>
      <w:r>
        <w:rPr>
          <w:rFonts w:ascii="HERVALIT" w:hAnsi="HERVALIT"/>
        </w:rPr>
        <w:t>3</w:t>
      </w:r>
      <w:r w:rsidRPr="008C1E71">
        <w:rPr>
          <w:rFonts w:ascii="HERVALIT" w:hAnsi="HERVALIT"/>
        </w:rPr>
        <w:t>-202</w:t>
      </w:r>
      <w:r>
        <w:rPr>
          <w:rFonts w:ascii="HERVALIT" w:hAnsi="HERVALIT"/>
        </w:rPr>
        <w:t>4</w:t>
      </w:r>
      <w:r w:rsidRPr="008C1E71">
        <w:rPr>
          <w:rFonts w:ascii="HERVALIT" w:hAnsi="HERVALIT"/>
        </w:rPr>
        <w:t>, de la Dirección General de Contabilidad Gubernamental.</w:t>
      </w:r>
    </w:p>
    <w:p w14:paraId="7180B01F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70F180A2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VISTA: La Política de Pagos para la Cancelación de Deudas y Compromisos del Gobierno Central, emitida por la Tesorería Nacional, en fecha del 4 de marzo del 2013.</w:t>
      </w:r>
    </w:p>
    <w:p w14:paraId="7BE0ABED" w14:textId="77777777" w:rsidR="00D8637B" w:rsidRPr="008C1E71" w:rsidRDefault="00D8637B" w:rsidP="00D8637B">
      <w:pPr>
        <w:pStyle w:val="Sinespaciado"/>
        <w:jc w:val="both"/>
        <w:rPr>
          <w:rFonts w:ascii="HERVALIT" w:hAnsi="HERVALIT"/>
        </w:rPr>
      </w:pPr>
    </w:p>
    <w:p w14:paraId="7530A4A5" w14:textId="77777777" w:rsidR="00D8637B" w:rsidRDefault="00D8637B" w:rsidP="00D8637B">
      <w:pPr>
        <w:pStyle w:val="Sinespaciado"/>
        <w:jc w:val="both"/>
        <w:rPr>
          <w:rFonts w:ascii="HERVALIT" w:hAnsi="HERVALIT"/>
        </w:rPr>
      </w:pPr>
      <w:r w:rsidRPr="008C1E71">
        <w:rPr>
          <w:rFonts w:ascii="HERVALIT" w:hAnsi="HERVALIT"/>
        </w:rPr>
        <w:t>VISTO: El Procedimiento para la Ejecución de Proyectos Financiados con Recursos Externos (UEPEX), de junio del 2019.</w:t>
      </w:r>
    </w:p>
    <w:p w14:paraId="14229DF0" w14:textId="77777777" w:rsidR="00D8637B" w:rsidRDefault="00D8637B" w:rsidP="006E2AC3">
      <w:pPr>
        <w:pStyle w:val="Sinespaciado"/>
        <w:jc w:val="both"/>
        <w:rPr>
          <w:rFonts w:ascii="HERVALIT" w:hAnsi="HERVALIT"/>
        </w:rPr>
      </w:pPr>
    </w:p>
    <w:p w14:paraId="2ED47FC0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2D00CE46" w14:textId="674074FA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>Ley No.</w:t>
      </w:r>
      <w:r>
        <w:rPr>
          <w:rFonts w:ascii="HERVALIT" w:hAnsi="HERVALIT"/>
        </w:rPr>
        <w:t xml:space="preserve"> </w:t>
      </w:r>
      <w:r w:rsidRPr="006E2AC3">
        <w:rPr>
          <w:rFonts w:ascii="HERVALIT" w:hAnsi="HERVALIT"/>
        </w:rPr>
        <w:t>126. Deroga y sustituye la ley no. 134 sobre el dominio de aguas terrestres y distribución de aguas públicas de fecha 30 de abril 1980.</w:t>
      </w:r>
    </w:p>
    <w:p w14:paraId="77027C55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0F86E159" w14:textId="5C22CCCC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lastRenderedPageBreak/>
        <w:t xml:space="preserve">Ley No. 656 que autoriza a la </w:t>
      </w:r>
      <w:r w:rsidR="007B6E88">
        <w:rPr>
          <w:rFonts w:ascii="HERVALIT" w:hAnsi="HERVALIT"/>
        </w:rPr>
        <w:t>Dirección</w:t>
      </w:r>
      <w:r w:rsidRPr="006E2AC3">
        <w:rPr>
          <w:rFonts w:ascii="HERVALIT" w:hAnsi="HERVALIT"/>
        </w:rPr>
        <w:t xml:space="preserve"> General de Bienes Nacionales a arrendar las casas que en el centro vacacional para obreros y empleados, de fecha 24 de mayo del 1974.</w:t>
      </w:r>
    </w:p>
    <w:p w14:paraId="5E21D683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58786313" w14:textId="30E2CC2F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>Ley No. 286 Dispone que las casas propiedad del Estado que no excedan en valor de RD$20,000.00 puedan pasar a ser propiedad de sus inquilinos actuales, de fecha 2 de marzo de 1972.</w:t>
      </w:r>
    </w:p>
    <w:p w14:paraId="698B9E39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780354FA" w14:textId="1D1DCF3D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>Ley 339. Bien de Familia</w:t>
      </w:r>
      <w:r w:rsidR="00253BDC">
        <w:rPr>
          <w:rFonts w:ascii="HERVALIT" w:hAnsi="HERVALIT"/>
        </w:rPr>
        <w:t xml:space="preserve"> </w:t>
      </w:r>
      <w:r w:rsidRPr="006E2AC3">
        <w:rPr>
          <w:rFonts w:ascii="HERVALIT" w:hAnsi="HERVALIT"/>
        </w:rPr>
        <w:t>de fecha 30 de agosto de 1968</w:t>
      </w:r>
    </w:p>
    <w:p w14:paraId="22C1692F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4EB3BDEC" w14:textId="783870D4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>Ley No.3105 sobre barrios de mejoramiento social, de fecha 9 Oct 1951</w:t>
      </w:r>
    </w:p>
    <w:p w14:paraId="57D20ADF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553A810A" w14:textId="006C35BB" w:rsidR="006E2AC3" w:rsidRDefault="006E2AC3" w:rsidP="006E2AC3">
      <w:pPr>
        <w:pStyle w:val="Sinespaciado"/>
        <w:jc w:val="both"/>
        <w:rPr>
          <w:rFonts w:ascii="HERVALIT" w:hAnsi="HERVALIT"/>
        </w:rPr>
      </w:pPr>
      <w:r w:rsidRPr="006E2AC3">
        <w:rPr>
          <w:rFonts w:ascii="HERVALIT" w:hAnsi="HERVALIT"/>
        </w:rPr>
        <w:t xml:space="preserve">Ley No. 1421 de arrendamiento de bienes del Estado, de fecha 24 </w:t>
      </w:r>
      <w:r w:rsidR="007B6E88" w:rsidRPr="006E2AC3">
        <w:rPr>
          <w:rFonts w:ascii="HERVALIT" w:hAnsi="HERVALIT"/>
        </w:rPr>
        <w:t>noviembre</w:t>
      </w:r>
      <w:r w:rsidRPr="006E2AC3">
        <w:rPr>
          <w:rFonts w:ascii="HERVALIT" w:hAnsi="HERVALIT"/>
        </w:rPr>
        <w:t xml:space="preserve"> 1937.</w:t>
      </w:r>
    </w:p>
    <w:p w14:paraId="57DC46F6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3381CD55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752957F9" w14:textId="37A3C08F" w:rsidR="006E2AC3" w:rsidRPr="007B6E88" w:rsidRDefault="006E2AC3" w:rsidP="00CD7109">
      <w:pPr>
        <w:pStyle w:val="Sinespaciado"/>
        <w:numPr>
          <w:ilvl w:val="0"/>
          <w:numId w:val="9"/>
        </w:numPr>
        <w:jc w:val="both"/>
        <w:rPr>
          <w:rFonts w:ascii="HERVALIT" w:hAnsi="HERVALIT"/>
          <w:b/>
          <w:bCs/>
        </w:rPr>
      </w:pPr>
      <w:r w:rsidRPr="007B6E88">
        <w:rPr>
          <w:rFonts w:ascii="HERVALIT" w:hAnsi="HERVALIT"/>
          <w:b/>
          <w:bCs/>
        </w:rPr>
        <w:t>Reglamentos</w:t>
      </w:r>
    </w:p>
    <w:p w14:paraId="5FDF948C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40BB658D" w14:textId="4BEE3E3B" w:rsidR="006E2A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Reglamento No. 7672 sobre las solicitudes de compra de bienes inmuebles del dominio privado del estado, de fecha 3 octubre 1951.</w:t>
      </w:r>
    </w:p>
    <w:p w14:paraId="6C9D9AE9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207C45AF" w14:textId="3041F0B5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Reglamento No. 6105, sobre Bienes Nacionales, G.O. No. 7023, de fecha 9 de noviembre de 1949.</w:t>
      </w:r>
    </w:p>
    <w:p w14:paraId="05786D3A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2786215C" w14:textId="3833360C" w:rsidR="00A707C3" w:rsidRPr="007B6E88" w:rsidRDefault="00A707C3" w:rsidP="00CD7109">
      <w:pPr>
        <w:pStyle w:val="Sinespaciado"/>
        <w:numPr>
          <w:ilvl w:val="0"/>
          <w:numId w:val="11"/>
        </w:numPr>
        <w:jc w:val="both"/>
        <w:rPr>
          <w:rFonts w:ascii="HERVALIT" w:hAnsi="HERVALIT"/>
          <w:b/>
          <w:bCs/>
        </w:rPr>
      </w:pPr>
      <w:r w:rsidRPr="007B6E88">
        <w:rPr>
          <w:rFonts w:ascii="HERVALIT" w:hAnsi="HERVALIT"/>
          <w:b/>
          <w:bCs/>
        </w:rPr>
        <w:t>Decretos</w:t>
      </w:r>
    </w:p>
    <w:p w14:paraId="52F64307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72A441AA" w14:textId="42490EFC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No. 113-17 que declara de utilidad pública e interés social la adquisición la construcción y puesta en servicio de la LT-138 Kv CRUCE DE OCOA – OCOA, de fecha 10 de abril del 2017.</w:t>
      </w:r>
    </w:p>
    <w:p w14:paraId="6B6D9AEC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4EAD516C" w14:textId="6C818E86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111-17: Se declara de utilidad pública e interés social la adquisición de una franja de terreno para ser destinada a la construcción y puesta en servicio de la LT-138 Kv GUERRA-SAN PEDRO, De fecha 10 de abril 2017.</w:t>
      </w:r>
    </w:p>
    <w:p w14:paraId="29578AD0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0C4230F3" w14:textId="52686DE5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114-17 se declara una franja de terreno para ser destinada a la construcción y puesta en servicio de la LT-138 Kv DUVERGÉ- JIMANÍ, De fecha 10 de abril 2017.</w:t>
      </w:r>
    </w:p>
    <w:p w14:paraId="1D875BDF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5698DCC5" w14:textId="78BCA796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387-15 modifica el Numeral 7 del Art. 1, del Decreto</w:t>
      </w:r>
    </w:p>
    <w:p w14:paraId="6865A5D7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49FD80D8" w14:textId="0DE7A3FE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No.1523-04 que establece el Procedimiento para la Contratación de Operaciones de Crédito Público Interno y Externo de la Nación. (3) días del mes de diciembre del año dos mil cuatro (2004).</w:t>
      </w:r>
    </w:p>
    <w:p w14:paraId="12C21268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1619E572" w14:textId="72EBE6F0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No. 427, que modifica el artículo 1 del Decreto No.351, del 6 de noviembre de 1970.</w:t>
      </w:r>
    </w:p>
    <w:p w14:paraId="3B2586A6" w14:textId="77777777" w:rsidR="00A707C3" w:rsidRDefault="00A707C3" w:rsidP="006E2AC3">
      <w:pPr>
        <w:pStyle w:val="Sinespaciado"/>
        <w:jc w:val="both"/>
        <w:rPr>
          <w:rFonts w:ascii="HERVALIT" w:hAnsi="HERVALIT"/>
        </w:rPr>
      </w:pPr>
    </w:p>
    <w:p w14:paraId="30038266" w14:textId="55D62F07" w:rsidR="00A707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No. 1343 que pasa la Administración de Fincas del Estado a la Dependencia de la Administración General de Bienes Nacionales (G.O. No. 9038, de fecha 31 de mayo del 1967.</w:t>
      </w:r>
    </w:p>
    <w:p w14:paraId="3E3D9B06" w14:textId="77777777" w:rsid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7A2E8F68" w14:textId="16C73680" w:rsidR="006E2AC3" w:rsidRPr="006E2AC3" w:rsidRDefault="00A707C3" w:rsidP="006E2AC3">
      <w:pPr>
        <w:pStyle w:val="Sinespaciado"/>
        <w:jc w:val="both"/>
        <w:rPr>
          <w:rFonts w:ascii="HERVALIT" w:hAnsi="HERVALIT"/>
        </w:rPr>
      </w:pPr>
      <w:r w:rsidRPr="00A707C3">
        <w:rPr>
          <w:rFonts w:ascii="HERVALIT" w:hAnsi="HERVALIT"/>
        </w:rPr>
        <w:t>Decreto No. 572, que crea e integra una Comisión encargada de realizar Un estudio de los casos de ocupación indebidas de propiedades Privadas, G.O. No. 9011, del 9 de noviembre 1966.</w:t>
      </w:r>
    </w:p>
    <w:p w14:paraId="12F61ED0" w14:textId="77777777" w:rsidR="006E2AC3" w:rsidRPr="006E2AC3" w:rsidRDefault="006E2AC3" w:rsidP="006E2AC3">
      <w:pPr>
        <w:pStyle w:val="Sinespaciado"/>
        <w:jc w:val="both"/>
        <w:rPr>
          <w:rFonts w:ascii="HERVALIT" w:hAnsi="HERVALIT"/>
        </w:rPr>
      </w:pPr>
    </w:p>
    <w:p w14:paraId="5A0A263C" w14:textId="77777777" w:rsidR="006E2AC3" w:rsidRDefault="006E2AC3" w:rsidP="00BA0633">
      <w:pPr>
        <w:pStyle w:val="Sinespaciado"/>
        <w:jc w:val="both"/>
        <w:rPr>
          <w:rFonts w:ascii="HERVALIT" w:hAnsi="HERVALIT"/>
        </w:rPr>
      </w:pPr>
    </w:p>
    <w:p w14:paraId="6F17404E" w14:textId="1060363E" w:rsidR="00FE4D42" w:rsidRPr="002B087A" w:rsidRDefault="00FE4D42" w:rsidP="002B087A">
      <w:pPr>
        <w:pStyle w:val="Sinespaciado"/>
        <w:numPr>
          <w:ilvl w:val="0"/>
          <w:numId w:val="14"/>
        </w:numPr>
        <w:jc w:val="both"/>
        <w:rPr>
          <w:rFonts w:ascii="HERVALIT" w:hAnsi="HERVALIT"/>
          <w:b/>
          <w:bCs/>
        </w:rPr>
      </w:pPr>
      <w:r w:rsidRPr="002B087A">
        <w:rPr>
          <w:rFonts w:ascii="HERVALIT" w:hAnsi="HERVALIT"/>
          <w:b/>
          <w:bCs/>
        </w:rPr>
        <w:lastRenderedPageBreak/>
        <w:t>Historia</w:t>
      </w:r>
    </w:p>
    <w:p w14:paraId="3E22ADAE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6C056770" w14:textId="750E4B70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La hoy Administración General de Bienes Nacionales, fue creada bajo la ley No. 1832 del 8 de </w:t>
      </w:r>
      <w:r w:rsidR="00281816">
        <w:rPr>
          <w:rFonts w:ascii="HERVALIT" w:hAnsi="HERVALIT"/>
        </w:rPr>
        <w:t>n</w:t>
      </w:r>
      <w:r w:rsidRPr="00FE4D42">
        <w:rPr>
          <w:rFonts w:ascii="HERVALIT" w:hAnsi="HERVALIT"/>
        </w:rPr>
        <w:t xml:space="preserve">oviembre de 1948, como una dependencia de la entonces Secretaría de Estado del Tesoro y Crédito </w:t>
      </w:r>
      <w:r w:rsidR="00281816" w:rsidRPr="00FE4D42">
        <w:rPr>
          <w:rFonts w:ascii="HERVALIT" w:hAnsi="HERVALIT"/>
        </w:rPr>
        <w:t>Público</w:t>
      </w:r>
      <w:r w:rsidRPr="00FE4D42">
        <w:rPr>
          <w:rFonts w:ascii="HERVALIT" w:hAnsi="HERVALIT"/>
        </w:rPr>
        <w:t xml:space="preserve"> (actualmente </w:t>
      </w:r>
      <w:r w:rsidR="003A51D8">
        <w:rPr>
          <w:rFonts w:ascii="HERVALIT" w:hAnsi="HERVALIT"/>
        </w:rPr>
        <w:t xml:space="preserve">Ministerio de </w:t>
      </w:r>
      <w:r w:rsidRPr="00FE4D42">
        <w:rPr>
          <w:rFonts w:ascii="HERVALIT" w:hAnsi="HERVALIT"/>
        </w:rPr>
        <w:t>Hacienda</w:t>
      </w:r>
      <w:r w:rsidR="003A51D8">
        <w:rPr>
          <w:rFonts w:ascii="HERVALIT" w:hAnsi="HERVALIT"/>
        </w:rPr>
        <w:t xml:space="preserve"> y Economía</w:t>
      </w:r>
      <w:r w:rsidRPr="00FE4D42">
        <w:rPr>
          <w:rFonts w:ascii="HERVALIT" w:hAnsi="HERVALIT"/>
        </w:rPr>
        <w:t>), con el nombre de Dirección General de Bienes Nacionales.</w:t>
      </w:r>
    </w:p>
    <w:p w14:paraId="265E1326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02115C2B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>La entonces institución tendría como atribuciones, llevar y mantener al día el catastro de los Bienes inmuebles del Estado Dominicano y de los bienes que pertenezcan al patrimonio de los organismos autónomos del mismo, función sustancial que se mantiene hasta la fecha.</w:t>
      </w:r>
    </w:p>
    <w:p w14:paraId="6F099C69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5EC24A3A" w14:textId="4A7C70AF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El 3 de noviembre del año 1948, mediante la ley </w:t>
      </w:r>
      <w:r w:rsidR="00281816" w:rsidRPr="00FE4D42">
        <w:rPr>
          <w:rFonts w:ascii="HERVALIT" w:hAnsi="HERVALIT"/>
        </w:rPr>
        <w:t>número</w:t>
      </w:r>
      <w:r w:rsidRPr="00FE4D42">
        <w:rPr>
          <w:rFonts w:ascii="HERVALIT" w:hAnsi="HERVALIT"/>
        </w:rPr>
        <w:t xml:space="preserve"> 1832, fue creada la Dirección General de Bienes Nacionales, en la que se establecía que el Director de Bienes Nacionales debía asumir todos los deberes y atribuciones que anteriormente estaban reservadas al Tesorero Nacional y al Encargado de Bienes Nacionales en todo lo relativo a esa materia. La misma ley establece que dicha institución estaría bajo la dependencia de la Secretaría de Estado de Finanzas, hoy Hacienda.</w:t>
      </w:r>
    </w:p>
    <w:p w14:paraId="5EA67AFF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33C96001" w14:textId="2D4E44A9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Un año después, el 9 de noviembre de 1949, fue dictado el reglamento No. 6105, sobre Bienes Nacionales, el cual define de forma </w:t>
      </w:r>
      <w:r w:rsidR="00281816" w:rsidRPr="00FE4D42">
        <w:rPr>
          <w:rFonts w:ascii="HERVALIT" w:hAnsi="HERVALIT"/>
        </w:rPr>
        <w:t>específica</w:t>
      </w:r>
      <w:r w:rsidRPr="00FE4D42">
        <w:rPr>
          <w:rFonts w:ascii="HERVALIT" w:hAnsi="HERVALIT"/>
        </w:rPr>
        <w:t xml:space="preserve"> las funciones de la Dirección General de Bienes Nacionales y establece la estructura orgánica de la misma. Este reglamento ha sido objeto de múltiples modificaciones.</w:t>
      </w:r>
    </w:p>
    <w:p w14:paraId="4F74D842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50994A45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>La ley 242 del 24 de junio de 1950, cambió la denominación de Dirección General de Bienes Nacionales, por la de Administración General de Bienes Nacionales.</w:t>
      </w:r>
    </w:p>
    <w:p w14:paraId="23C3214B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3677ADA2" w14:textId="346724BA" w:rsidR="00FE4D42" w:rsidRDefault="00FE4D42" w:rsidP="00FE4D42">
      <w:pPr>
        <w:pStyle w:val="Sinespaciado"/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El 18 de enero del año 2001, el Poder Ejecutivo dictó el decreto número 93-01, el cual dispone la implementación de un Plan Nacional de </w:t>
      </w:r>
      <w:r w:rsidR="00281816" w:rsidRPr="00FE4D42">
        <w:rPr>
          <w:rFonts w:ascii="HERVALIT" w:hAnsi="HERVALIT"/>
        </w:rPr>
        <w:t>Titulación</w:t>
      </w:r>
      <w:r w:rsidRPr="00FE4D42">
        <w:rPr>
          <w:rFonts w:ascii="HERVALIT" w:hAnsi="HERVALIT"/>
        </w:rPr>
        <w:t xml:space="preserve"> de Tierras del Estado Dominicano y crea una unidad ejecutora, adscrita a la Administración General de Bienes Nacionales, para dirigir dicho plan.</w:t>
      </w:r>
    </w:p>
    <w:p w14:paraId="493903D3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2074CA7E" w14:textId="27BCB912" w:rsidR="003D7FEE" w:rsidRPr="002B087A" w:rsidRDefault="003D7FEE" w:rsidP="002B087A">
      <w:pPr>
        <w:pStyle w:val="Sinespaciado"/>
        <w:numPr>
          <w:ilvl w:val="0"/>
          <w:numId w:val="16"/>
        </w:numPr>
        <w:jc w:val="both"/>
        <w:rPr>
          <w:rFonts w:ascii="HERVALIT" w:hAnsi="HERVALIT"/>
          <w:b/>
          <w:bCs/>
        </w:rPr>
      </w:pPr>
      <w:r w:rsidRPr="002B087A">
        <w:rPr>
          <w:rFonts w:ascii="HERVALIT" w:hAnsi="HERVALIT"/>
          <w:b/>
          <w:bCs/>
        </w:rPr>
        <w:t>Funciones</w:t>
      </w:r>
      <w:r w:rsidR="001C49F8">
        <w:rPr>
          <w:rFonts w:ascii="HERVALIT" w:hAnsi="HERVALIT"/>
          <w:b/>
          <w:bCs/>
        </w:rPr>
        <w:t xml:space="preserve"> Principales:</w:t>
      </w:r>
    </w:p>
    <w:p w14:paraId="4CCD329E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0B0B4F2B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  <w:r w:rsidRPr="00495801">
        <w:rPr>
          <w:rFonts w:ascii="HERVALIT" w:hAnsi="HERVALIT"/>
        </w:rPr>
        <w:t>La Administración General de Bienes Nacionales tiene como responsabilidad principal la organización, registro y control de los bienes inmobiliarios pertenecientes al Estado y a sus organismos autónomos. En este sentido, le corresponde levantar y mantener actualizado el catastro nacional de dichas propiedades, garantizando que toda la información relacionada con los inmuebles estatales esté debidamente documentada y sistematizada.</w:t>
      </w:r>
    </w:p>
    <w:p w14:paraId="4BE8CD75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</w:p>
    <w:p w14:paraId="3D1EDB1E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  <w:r w:rsidRPr="00495801">
        <w:rPr>
          <w:rFonts w:ascii="HERVALIT" w:hAnsi="HERVALIT"/>
        </w:rPr>
        <w:t>Asimismo, esta entidad debe registrar de manera precisa y continua todas las operaciones que involucren bienes inmuebles del Estado, utilizando los libros y sistemas destinados para tales fines. Esto incluye transferencias, adquisiciones, asignaciones y cualquier otro movimiento que afecte la titularidad o condición de dichos bienes.</w:t>
      </w:r>
    </w:p>
    <w:p w14:paraId="63C8F107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</w:p>
    <w:p w14:paraId="2ED37F4C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  <w:r w:rsidRPr="00495801">
        <w:rPr>
          <w:rFonts w:ascii="HERVALIT" w:hAnsi="HERVALIT"/>
        </w:rPr>
        <w:t>De igual manera, la institución tiene la obligación de velar por el adecuado inventario y administración de todos los bienes propiedad del Estado, asegurando su correcto uso, conservación y control. También le corresponde atender y resolver los asuntos legales relacionados con estos bienes, brindando soporte jurídico en los casos que lo requieran.</w:t>
      </w:r>
    </w:p>
    <w:p w14:paraId="02C753B7" w14:textId="77777777" w:rsidR="00495801" w:rsidRPr="00495801" w:rsidRDefault="00495801" w:rsidP="00495801">
      <w:pPr>
        <w:pStyle w:val="Sinespaciado"/>
        <w:jc w:val="both"/>
        <w:rPr>
          <w:rFonts w:ascii="HERVALIT" w:hAnsi="HERVALIT"/>
        </w:rPr>
      </w:pPr>
    </w:p>
    <w:p w14:paraId="0C24E355" w14:textId="33E34370" w:rsidR="00E34879" w:rsidRDefault="00495801" w:rsidP="00495801">
      <w:pPr>
        <w:pStyle w:val="Sinespaciado"/>
        <w:jc w:val="both"/>
        <w:rPr>
          <w:rFonts w:ascii="HERVALIT" w:hAnsi="HERVALIT"/>
        </w:rPr>
      </w:pPr>
      <w:r w:rsidRPr="00495801">
        <w:rPr>
          <w:rFonts w:ascii="HERVALIT" w:hAnsi="HERVALIT"/>
        </w:rPr>
        <w:t>Por otro lado, entre sus funciones se encuentra la atención a los ciudadanos mediante la recepción, evaluación y tramitación de solicitudes relacionadas con la asignación de viviendas y terrenos, contribuyendo así al acceso equitativo a los bienes del Estado.</w:t>
      </w:r>
    </w:p>
    <w:p w14:paraId="23AC88D9" w14:textId="77777777" w:rsidR="00E34879" w:rsidRDefault="00E34879" w:rsidP="00FE4D42">
      <w:pPr>
        <w:pStyle w:val="Sinespaciado"/>
        <w:jc w:val="both"/>
        <w:rPr>
          <w:rFonts w:ascii="HERVALIT" w:hAnsi="HERVALIT"/>
        </w:rPr>
      </w:pPr>
    </w:p>
    <w:p w14:paraId="100D0654" w14:textId="029D4708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Llevar y mantener al día el catastro de los bienes inmuebles del Estado y el de los bienes inmuebles que pertenezcan al patrimonio de los organismos autónomos del Estado.</w:t>
      </w:r>
    </w:p>
    <w:p w14:paraId="5EB88660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6808041D" w14:textId="4A334DD7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Mantener en seguro depósito, todos los títulos y documentos que constituyan prueba del derecho de propiedad del Estado, sobre sus bienes públicos o privados.</w:t>
      </w:r>
    </w:p>
    <w:p w14:paraId="1692B450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151C2A7F" w14:textId="2D3E0BC5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Solicitar y acopiar todos los informes que se refieran a los bienes del Estado.</w:t>
      </w:r>
    </w:p>
    <w:p w14:paraId="7496FDE9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5F97C130" w14:textId="4056562A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Ejecutar o velar porque se ejerciten, en tiempo oportuno todas las acciones y derechos que sean de lugar a favor del patrimonio del Estado.</w:t>
      </w:r>
    </w:p>
    <w:p w14:paraId="5BDB3DDB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04E0D839" w14:textId="4B345BAE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Solicitar y acopiar todos los informes que se refieran a los bienes del Estado.</w:t>
      </w:r>
    </w:p>
    <w:p w14:paraId="40D3B822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154BB763" w14:textId="32ADF48F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Velar por el saneamiento y registro de las propiedades en las cuales el Estado tenga derecho de propiedad o cualquier otro derecho real.</w:t>
      </w:r>
    </w:p>
    <w:p w14:paraId="14C70BF0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3321A7CB" w14:textId="568BDD53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Velar por la conservación de los bienes inmuebles del Estado, formar y mantener al día el inventario de dichos bienes, con las excepciones que determinen los reglamentos y proceder a su venta, cuando sea pertinente, en la forma que prescriben los reglamentos.</w:t>
      </w:r>
    </w:p>
    <w:p w14:paraId="2D2ED3AA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787AEE15" w14:textId="4EB6AF04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Celebrar y suscribir los contratos de uso y arrendamiento de los bienes del Estado o contratos de adquisición o enajenación de inmuebles, conforme a los poderes que reciba del presidente de la República.</w:t>
      </w:r>
    </w:p>
    <w:p w14:paraId="1F0C86DB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3E9E3056" w14:textId="5164FB94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Dirigir los procedimientos de lugar, en los casos de expropiación, por utilidad pública o de interés social a favor del Estado y representar al Estado en todos los actos y recursos del caso.</w:t>
      </w:r>
    </w:p>
    <w:p w14:paraId="55B13699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0A885FE1" w14:textId="2A142F6A" w:rsidR="00FE4D42" w:rsidRP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>La Administración General de Bienes Nacionales será legalmente la encargada del secuestro y administración de los bienes de los perseguidos o condenados en contumacia.</w:t>
      </w:r>
    </w:p>
    <w:p w14:paraId="2CD2FB7A" w14:textId="77777777" w:rsidR="00FE4D42" w:rsidRP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7FAFBD32" w14:textId="636BB665" w:rsidR="00FE4D42" w:rsidRDefault="00FE4D42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 w:rsidRPr="00FE4D42">
        <w:rPr>
          <w:rFonts w:ascii="HERVALIT" w:hAnsi="HERVALIT"/>
        </w:rPr>
        <w:t xml:space="preserve">La Administración General de Bienes Nacionales, es responsable de la fiel custodia de todos los catastros, títulos o documentos valiosos que esta ley pone a su cargo y no podrá dejar salir de su custodia dichos catastros, títulos o documentos valiosos, sino para fines que interesen al Estado, y siempre con la autorización del </w:t>
      </w:r>
      <w:r w:rsidR="001A186A">
        <w:rPr>
          <w:rFonts w:ascii="HERVALIT" w:hAnsi="HERVALIT"/>
        </w:rPr>
        <w:t xml:space="preserve">Ministro </w:t>
      </w:r>
      <w:r w:rsidRPr="00FE4D42">
        <w:rPr>
          <w:rFonts w:ascii="HERVALIT" w:hAnsi="HERVALIT"/>
        </w:rPr>
        <w:t>De Hacienda</w:t>
      </w:r>
      <w:r w:rsidR="001A186A">
        <w:rPr>
          <w:rFonts w:ascii="HERVALIT" w:hAnsi="HERVALIT"/>
        </w:rPr>
        <w:t xml:space="preserve"> y Economía</w:t>
      </w:r>
      <w:r w:rsidRPr="00FE4D42">
        <w:rPr>
          <w:rFonts w:ascii="HERVALIT" w:hAnsi="HERVALIT"/>
        </w:rPr>
        <w:t>.</w:t>
      </w:r>
    </w:p>
    <w:p w14:paraId="1C7CC3B5" w14:textId="77777777" w:rsidR="001C49F8" w:rsidRDefault="001C49F8" w:rsidP="001C49F8">
      <w:pPr>
        <w:pStyle w:val="Prrafodelista"/>
        <w:rPr>
          <w:rFonts w:ascii="HERVALIT" w:hAnsi="HERVALIT"/>
        </w:rPr>
      </w:pPr>
    </w:p>
    <w:p w14:paraId="4C9C1FCC" w14:textId="0C365541" w:rsidR="001C49F8" w:rsidRDefault="001C49F8" w:rsidP="00281816">
      <w:pPr>
        <w:pStyle w:val="Sinespaciado"/>
        <w:numPr>
          <w:ilvl w:val="0"/>
          <w:numId w:val="4"/>
        </w:numPr>
        <w:jc w:val="both"/>
        <w:rPr>
          <w:rFonts w:ascii="HERVALIT" w:hAnsi="HERVALIT"/>
        </w:rPr>
      </w:pPr>
      <w:r>
        <w:rPr>
          <w:rFonts w:ascii="HERVALIT" w:hAnsi="HERVALIT"/>
        </w:rPr>
        <w:t>Certificación de No Inscripción de Inmueble.</w:t>
      </w:r>
    </w:p>
    <w:p w14:paraId="337F4E91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32A9245D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7791EC55" w14:textId="77777777" w:rsidR="00E82DFF" w:rsidRPr="007B6E88" w:rsidRDefault="00E82DFF" w:rsidP="00E82DFF">
      <w:pPr>
        <w:pStyle w:val="Sinespaciado"/>
        <w:numPr>
          <w:ilvl w:val="0"/>
          <w:numId w:val="12"/>
        </w:numPr>
        <w:jc w:val="both"/>
        <w:rPr>
          <w:rFonts w:ascii="HERVALIT" w:hAnsi="HERVALIT"/>
          <w:b/>
          <w:bCs/>
        </w:rPr>
      </w:pPr>
      <w:r w:rsidRPr="007B6E88">
        <w:rPr>
          <w:rFonts w:ascii="HERVALIT" w:hAnsi="HERVALIT"/>
          <w:b/>
          <w:bCs/>
        </w:rPr>
        <w:t>Misión, Visión, Valores y Objetivo</w:t>
      </w:r>
    </w:p>
    <w:p w14:paraId="3424745D" w14:textId="77777777" w:rsidR="00E82DFF" w:rsidRPr="00FE4D42" w:rsidRDefault="00E82DFF" w:rsidP="00E82DFF">
      <w:pPr>
        <w:pStyle w:val="Sinespaciado"/>
        <w:jc w:val="both"/>
        <w:rPr>
          <w:rFonts w:ascii="HERVALIT" w:hAnsi="HERVALIT"/>
        </w:rPr>
      </w:pPr>
    </w:p>
    <w:p w14:paraId="7590D472" w14:textId="77777777" w:rsidR="00E82DFF" w:rsidRPr="00FE4D42" w:rsidRDefault="00E82DFF" w:rsidP="00E82DFF">
      <w:pPr>
        <w:pStyle w:val="Sinespaciado"/>
        <w:numPr>
          <w:ilvl w:val="0"/>
          <w:numId w:val="13"/>
        </w:numPr>
        <w:jc w:val="both"/>
        <w:rPr>
          <w:rFonts w:ascii="HERVALIT" w:hAnsi="HERVALIT"/>
        </w:rPr>
      </w:pPr>
      <w:r w:rsidRPr="00FD2C26">
        <w:rPr>
          <w:rFonts w:ascii="HERVALIT" w:hAnsi="HERVALIT"/>
          <w:b/>
          <w:bCs/>
        </w:rPr>
        <w:lastRenderedPageBreak/>
        <w:t>Misión</w:t>
      </w:r>
      <w:r w:rsidRPr="00FE4D42">
        <w:rPr>
          <w:rFonts w:ascii="HERVALIT" w:hAnsi="HERVALIT"/>
        </w:rPr>
        <w:t>. “Salvaguardar las propiedades del Estado, haciendo posible el uso adecuado y efectivo de sus bienes, teniendo como norte el desarrollo real de la sociedad dominicana”.</w:t>
      </w:r>
    </w:p>
    <w:p w14:paraId="50331040" w14:textId="77777777" w:rsidR="00E82DFF" w:rsidRPr="00FE4D42" w:rsidRDefault="00E82DFF" w:rsidP="00E82DFF">
      <w:pPr>
        <w:pStyle w:val="Sinespaciado"/>
        <w:jc w:val="both"/>
        <w:rPr>
          <w:rFonts w:ascii="HERVALIT" w:hAnsi="HERVALIT"/>
        </w:rPr>
      </w:pPr>
    </w:p>
    <w:p w14:paraId="52034463" w14:textId="77777777" w:rsidR="00E82DFF" w:rsidRPr="00FE4D42" w:rsidRDefault="00E82DFF" w:rsidP="00E82DFF">
      <w:pPr>
        <w:pStyle w:val="Sinespaciado"/>
        <w:numPr>
          <w:ilvl w:val="0"/>
          <w:numId w:val="13"/>
        </w:numPr>
        <w:jc w:val="both"/>
        <w:rPr>
          <w:rFonts w:ascii="HERVALIT" w:hAnsi="HERVALIT"/>
        </w:rPr>
      </w:pPr>
      <w:r w:rsidRPr="00FD2C26">
        <w:rPr>
          <w:rFonts w:ascii="HERVALIT" w:hAnsi="HERVALIT"/>
          <w:b/>
          <w:bCs/>
        </w:rPr>
        <w:t>Visión</w:t>
      </w:r>
      <w:r w:rsidRPr="00FE4D42">
        <w:rPr>
          <w:rFonts w:ascii="HERVALIT" w:hAnsi="HERVALIT"/>
        </w:rPr>
        <w:t>. “Ser una institución gubernamental sólida, que sirva con honestidad y entrega a los clientes/ciudadanos en la administración de los bienes de todos, aportando al desarrollo y progreso del país”.</w:t>
      </w:r>
    </w:p>
    <w:p w14:paraId="62635B56" w14:textId="77777777" w:rsidR="00E82DFF" w:rsidRPr="00FE4D42" w:rsidRDefault="00E82DFF" w:rsidP="00E82DFF">
      <w:pPr>
        <w:pStyle w:val="Sinespaciado"/>
        <w:jc w:val="both"/>
        <w:rPr>
          <w:rFonts w:ascii="HERVALIT" w:hAnsi="HERVALIT"/>
        </w:rPr>
      </w:pPr>
    </w:p>
    <w:p w14:paraId="18B3D620" w14:textId="77777777" w:rsidR="00E82DFF" w:rsidRPr="00FE4D42" w:rsidRDefault="00E82DFF" w:rsidP="00E82DFF">
      <w:pPr>
        <w:pStyle w:val="Sinespaciado"/>
        <w:numPr>
          <w:ilvl w:val="0"/>
          <w:numId w:val="13"/>
        </w:numPr>
        <w:jc w:val="both"/>
        <w:rPr>
          <w:rFonts w:ascii="HERVALIT" w:hAnsi="HERVALIT"/>
        </w:rPr>
      </w:pPr>
      <w:r w:rsidRPr="00FD2C26">
        <w:rPr>
          <w:rFonts w:ascii="HERVALIT" w:hAnsi="HERVALIT"/>
          <w:b/>
          <w:bCs/>
        </w:rPr>
        <w:t>Valores</w:t>
      </w:r>
      <w:r w:rsidRPr="00FE4D42">
        <w:rPr>
          <w:rFonts w:ascii="HERVALIT" w:hAnsi="HERVALIT"/>
        </w:rPr>
        <w:t>. Honestidad, Compromiso, Solidaridad, Servicio desinteresado, Calidad, Visión de Progreso, Comunicación efectiva.</w:t>
      </w:r>
    </w:p>
    <w:p w14:paraId="462A41F9" w14:textId="77777777" w:rsidR="00E82DFF" w:rsidRPr="00FE4D42" w:rsidRDefault="00E82DFF" w:rsidP="00E82DFF">
      <w:pPr>
        <w:pStyle w:val="Sinespaciado"/>
        <w:jc w:val="both"/>
        <w:rPr>
          <w:rFonts w:ascii="HERVALIT" w:hAnsi="HERVALIT"/>
        </w:rPr>
      </w:pPr>
    </w:p>
    <w:p w14:paraId="5E31B7B6" w14:textId="2B86A508" w:rsidR="00E82DFF" w:rsidRDefault="00E82DFF" w:rsidP="00E82DFF">
      <w:pPr>
        <w:pStyle w:val="Sinespaciado"/>
        <w:numPr>
          <w:ilvl w:val="0"/>
          <w:numId w:val="13"/>
        </w:numPr>
        <w:jc w:val="both"/>
        <w:rPr>
          <w:rFonts w:ascii="HERVALIT" w:hAnsi="HERVALIT"/>
        </w:rPr>
      </w:pPr>
      <w:r w:rsidRPr="00FD2C26">
        <w:rPr>
          <w:rFonts w:ascii="HERVALIT" w:hAnsi="HERVALIT"/>
          <w:b/>
          <w:bCs/>
        </w:rPr>
        <w:t>Objetivo</w:t>
      </w:r>
      <w:r w:rsidR="00654380">
        <w:rPr>
          <w:rFonts w:ascii="HERVALIT" w:hAnsi="HERVALIT"/>
          <w:b/>
          <w:bCs/>
        </w:rPr>
        <w:t>s Institucionales</w:t>
      </w:r>
      <w:r w:rsidRPr="00FE4D42">
        <w:rPr>
          <w:rFonts w:ascii="HERVALIT" w:hAnsi="HERVALIT"/>
        </w:rPr>
        <w:t>. Velar por el registro e inventario de todos los bienes propiedad del Estado y la administración de los mismos, así como resolver todos los asuntos que en materia legal se presenten al respecto, recibir, estudiar, y tramitar las solicitudes de viviendas y terrenos hechas por los ciudadanos.</w:t>
      </w:r>
    </w:p>
    <w:p w14:paraId="291CEF1E" w14:textId="77777777" w:rsidR="00FE4D42" w:rsidRDefault="00FE4D42" w:rsidP="00FE4D42">
      <w:pPr>
        <w:pStyle w:val="Sinespaciado"/>
        <w:jc w:val="both"/>
        <w:rPr>
          <w:rFonts w:ascii="HERVALIT" w:hAnsi="HERVALIT"/>
        </w:rPr>
      </w:pPr>
    </w:p>
    <w:p w14:paraId="094114C3" w14:textId="77777777" w:rsidR="00FE4D42" w:rsidRDefault="00FE4D42" w:rsidP="000F30D4">
      <w:pPr>
        <w:pStyle w:val="Sinespaciado"/>
        <w:jc w:val="both"/>
        <w:rPr>
          <w:rFonts w:ascii="HERVALIT" w:hAnsi="HERVALIT"/>
        </w:rPr>
      </w:pPr>
    </w:p>
    <w:p w14:paraId="321B3076" w14:textId="77777777" w:rsidR="00514025" w:rsidRPr="007925C7" w:rsidRDefault="00514025" w:rsidP="002F4AEF">
      <w:pPr>
        <w:pStyle w:val="Sinespaciado"/>
        <w:jc w:val="both"/>
        <w:rPr>
          <w:rFonts w:ascii="HERVALIT" w:hAnsi="HERVALIT"/>
          <w:b/>
          <w:bCs/>
        </w:rPr>
      </w:pPr>
      <w:r w:rsidRPr="007925C7">
        <w:rPr>
          <w:rFonts w:ascii="HERVALIT" w:hAnsi="HERVALIT"/>
          <w:b/>
          <w:bCs/>
        </w:rPr>
        <w:t>Nota 2: Base de presentación</w:t>
      </w:r>
    </w:p>
    <w:p w14:paraId="52AA3735" w14:textId="77777777" w:rsidR="00A4799B" w:rsidRPr="00514025" w:rsidRDefault="00A4799B" w:rsidP="002F4AEF">
      <w:pPr>
        <w:pStyle w:val="Sinespaciado"/>
        <w:jc w:val="both"/>
        <w:rPr>
          <w:rFonts w:ascii="HERVALIT" w:hAnsi="HERVALIT"/>
        </w:rPr>
      </w:pPr>
    </w:p>
    <w:p w14:paraId="0F334425" w14:textId="31C75914" w:rsidR="00A4799B" w:rsidRDefault="00514025" w:rsidP="002F4AEF">
      <w:pPr>
        <w:pStyle w:val="Sinespaciado"/>
        <w:jc w:val="both"/>
        <w:rPr>
          <w:rFonts w:ascii="HERVALIT" w:hAnsi="HERVALIT"/>
        </w:rPr>
      </w:pPr>
      <w:r w:rsidRPr="00514025">
        <w:rPr>
          <w:rFonts w:ascii="HERVALIT" w:hAnsi="HERVALIT"/>
        </w:rPr>
        <w:t>Las políticas, procedimientos y normas aplicables a los estados financieros de</w:t>
      </w:r>
      <w:r w:rsidR="001F63A0">
        <w:rPr>
          <w:rFonts w:ascii="HERVALIT" w:hAnsi="HERVALIT"/>
        </w:rPr>
        <w:t xml:space="preserve"> </w:t>
      </w:r>
      <w:r w:rsidRPr="00514025">
        <w:rPr>
          <w:rFonts w:ascii="HERVALIT" w:hAnsi="HERVALIT"/>
        </w:rPr>
        <w:t>l</w:t>
      </w:r>
      <w:r w:rsidR="001F63A0">
        <w:rPr>
          <w:rFonts w:ascii="HERVALIT" w:hAnsi="HERVALIT"/>
        </w:rPr>
        <w:t>a</w:t>
      </w:r>
      <w:r w:rsidRPr="00514025">
        <w:rPr>
          <w:rFonts w:ascii="HERVALIT" w:hAnsi="HERVALIT"/>
        </w:rPr>
        <w:t xml:space="preserve"> </w:t>
      </w:r>
      <w:r w:rsidR="001F63A0">
        <w:rPr>
          <w:rFonts w:ascii="HERVALIT" w:hAnsi="HERVALIT"/>
        </w:rPr>
        <w:t>Dirección General de Bienes Nacionales</w:t>
      </w:r>
      <w:r w:rsidRPr="00514025">
        <w:rPr>
          <w:rFonts w:ascii="HERVALIT" w:hAnsi="HERVALIT"/>
        </w:rPr>
        <w:t xml:space="preserve"> están de conformidad con prácticas contables establecidas por la Dirección General de Contabilidad Gubernamental (</w:t>
      </w:r>
      <w:r w:rsidR="001E2485" w:rsidRPr="000F30D4">
        <w:rPr>
          <w:rFonts w:ascii="HERVALIT" w:hAnsi="HERVALIT"/>
        </w:rPr>
        <w:t>DIGECOG</w:t>
      </w:r>
      <w:r w:rsidRPr="00514025">
        <w:rPr>
          <w:rFonts w:ascii="HERVALIT" w:hAnsi="HERVALIT"/>
        </w:rPr>
        <w:t>), como órgano rector de la contabilidad en el Sector Público dominicano.</w:t>
      </w:r>
    </w:p>
    <w:p w14:paraId="29B57BD7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27719FA7" w14:textId="325CA5D2" w:rsidR="00514025" w:rsidRPr="00514025" w:rsidRDefault="00514025" w:rsidP="002F4AEF">
      <w:pPr>
        <w:pStyle w:val="Sinespaciado"/>
        <w:jc w:val="both"/>
        <w:rPr>
          <w:rFonts w:ascii="HERVALIT" w:hAnsi="HERVALIT"/>
        </w:rPr>
      </w:pPr>
      <w:r w:rsidRPr="00514025">
        <w:rPr>
          <w:rFonts w:ascii="HERVALIT" w:hAnsi="HERVALIT"/>
        </w:rPr>
        <w:t xml:space="preserve">Los estados financieros han sido preparados de conformidad con las Normas Internacionales de </w:t>
      </w:r>
    </w:p>
    <w:p w14:paraId="7E0BA7E8" w14:textId="1032E119" w:rsidR="00A4799B" w:rsidRDefault="00514025" w:rsidP="002F4AEF">
      <w:pPr>
        <w:pStyle w:val="Sinespaciado"/>
        <w:jc w:val="both"/>
        <w:rPr>
          <w:rFonts w:ascii="HERVALIT" w:hAnsi="HERVALIT"/>
        </w:rPr>
      </w:pPr>
      <w:r w:rsidRPr="00514025">
        <w:rPr>
          <w:rFonts w:ascii="HERVALIT" w:hAnsi="HERVALIT"/>
        </w:rPr>
        <w:t xml:space="preserve">Contabilidad del Sector Público (NICSP), adoptadas por la República Dominicana, a través del Ministerio de Hacienda y </w:t>
      </w:r>
      <w:r w:rsidR="008B3BE4" w:rsidRPr="00514025">
        <w:rPr>
          <w:rFonts w:ascii="HERVALIT" w:hAnsi="HERVALIT"/>
        </w:rPr>
        <w:t>Economía</w:t>
      </w:r>
      <w:r w:rsidRPr="00514025">
        <w:rPr>
          <w:rFonts w:ascii="HERVALIT" w:hAnsi="HERVALIT"/>
        </w:rPr>
        <w:t xml:space="preserve"> en la Dirección General de Contabilidad Gubernamental (</w:t>
      </w:r>
      <w:r w:rsidR="001E2485" w:rsidRPr="000F30D4">
        <w:rPr>
          <w:rFonts w:ascii="HERVALIT" w:hAnsi="HERVALIT"/>
        </w:rPr>
        <w:t>DIGECOG</w:t>
      </w:r>
      <w:r w:rsidRPr="00514025">
        <w:rPr>
          <w:rFonts w:ascii="HERVALIT" w:hAnsi="HERVALIT"/>
        </w:rPr>
        <w:t>).</w:t>
      </w:r>
    </w:p>
    <w:p w14:paraId="3D8413E6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3374827D" w14:textId="79DA7C0D" w:rsidR="00A4799B" w:rsidRDefault="001F63A0" w:rsidP="002F4AEF">
      <w:pPr>
        <w:pStyle w:val="Sinespaciado"/>
        <w:jc w:val="both"/>
        <w:rPr>
          <w:rFonts w:ascii="HERVALIT" w:hAnsi="HERVALIT"/>
        </w:rPr>
      </w:pPr>
      <w:r>
        <w:rPr>
          <w:rFonts w:ascii="HERVALIT" w:hAnsi="HERVALIT"/>
        </w:rPr>
        <w:t>La Dirección General de Bienes Nacionales</w:t>
      </w:r>
      <w:r w:rsidRPr="00514025">
        <w:rPr>
          <w:rFonts w:ascii="HERVALIT" w:hAnsi="HERVALIT"/>
        </w:rPr>
        <w:t xml:space="preserve"> </w:t>
      </w:r>
      <w:r w:rsidR="00514025" w:rsidRPr="00514025">
        <w:rPr>
          <w:rFonts w:ascii="HERVALIT" w:hAnsi="HERVALIT"/>
        </w:rPr>
        <w:t xml:space="preserve">presenta su presupuesto aprobado ejecutado según la base contable de efectivo y devengado para los ingresos y gastos, respectivamente. A la vez, los estados financieros sobre la base de acumulación (o devengado), conforme Información del Presupuesto en los Estados </w:t>
      </w:r>
      <w:r>
        <w:rPr>
          <w:rFonts w:ascii="HERVALIT" w:hAnsi="HERVALIT"/>
        </w:rPr>
        <w:t>Financieros.</w:t>
      </w:r>
    </w:p>
    <w:p w14:paraId="0EF6525B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5B77C68A" w14:textId="247C690A" w:rsidR="00A4799B" w:rsidRDefault="00514025" w:rsidP="002F4AEF">
      <w:pPr>
        <w:pStyle w:val="Sinespaciado"/>
        <w:jc w:val="both"/>
        <w:rPr>
          <w:rFonts w:ascii="HERVALIT" w:hAnsi="HERVALIT"/>
        </w:rPr>
      </w:pPr>
      <w:r w:rsidRPr="00514025">
        <w:rPr>
          <w:rFonts w:ascii="HERVALIT" w:hAnsi="HERVALIT"/>
        </w:rPr>
        <w:t>El presupuesto se aprueba según la base contable de efectivo y devengado siguiendo una clasificación de pago por funciones. El presupuesto aprobado cubre el período fiscal que va desde el 1ro. de enero hasta el 31 de diciembre de 202</w:t>
      </w:r>
      <w:r w:rsidR="001F63A0">
        <w:rPr>
          <w:rFonts w:ascii="HERVALIT" w:hAnsi="HERVALIT"/>
        </w:rPr>
        <w:t>6</w:t>
      </w:r>
      <w:r w:rsidRPr="00514025">
        <w:rPr>
          <w:rFonts w:ascii="HERVALIT" w:hAnsi="HERVALIT"/>
        </w:rPr>
        <w:t xml:space="preserve"> y es incluido como información suplementaria en los estados financieros y sus notas.</w:t>
      </w:r>
    </w:p>
    <w:p w14:paraId="6B7FA226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698A5513" w14:textId="77777777" w:rsidR="00A4799B" w:rsidRPr="001F63A0" w:rsidRDefault="00514025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 xml:space="preserve">Principales principios </w:t>
      </w:r>
    </w:p>
    <w:p w14:paraId="318944F3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16AF74A4" w14:textId="77777777" w:rsidR="00A4799B" w:rsidRPr="001F63A0" w:rsidRDefault="00514025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>Pagos de terceros</w:t>
      </w:r>
    </w:p>
    <w:p w14:paraId="61B9D370" w14:textId="77777777" w:rsidR="001F63A0" w:rsidRDefault="001F63A0" w:rsidP="002F4AEF">
      <w:pPr>
        <w:pStyle w:val="Sinespaciado"/>
        <w:jc w:val="both"/>
        <w:rPr>
          <w:rFonts w:ascii="HERVALIT" w:hAnsi="HERVALIT"/>
        </w:rPr>
      </w:pPr>
    </w:p>
    <w:p w14:paraId="632AFFBD" w14:textId="53D65CFA" w:rsidR="00514025" w:rsidRDefault="00514025" w:rsidP="002F4AEF">
      <w:pPr>
        <w:pStyle w:val="Sinespaciado"/>
        <w:jc w:val="both"/>
        <w:rPr>
          <w:rFonts w:ascii="HERVALIT" w:hAnsi="HERVALIT"/>
        </w:rPr>
      </w:pPr>
      <w:r w:rsidRPr="00514025">
        <w:rPr>
          <w:rFonts w:ascii="HERVALIT" w:hAnsi="HERVALIT"/>
        </w:rPr>
        <w:t>Constituyen recursos que ingresan a la Tesorería Nacional que no representan cobros o pagos realizados a favor del Gobierno, sino en nombre y derecho de terceros.</w:t>
      </w:r>
    </w:p>
    <w:p w14:paraId="7B0A4BD6" w14:textId="77777777" w:rsidR="00514025" w:rsidRDefault="00514025" w:rsidP="002F4AEF">
      <w:pPr>
        <w:pStyle w:val="Sinespaciado"/>
        <w:jc w:val="both"/>
        <w:rPr>
          <w:rFonts w:ascii="HERVALIT" w:hAnsi="HERVALIT"/>
        </w:rPr>
      </w:pPr>
    </w:p>
    <w:p w14:paraId="3B1B0A33" w14:textId="77777777" w:rsidR="00A4799B" w:rsidRPr="001F63A0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>Bienes económicos</w:t>
      </w:r>
      <w:r w:rsidR="00A4799B" w:rsidRPr="001F63A0">
        <w:rPr>
          <w:rFonts w:ascii="HERVALIT" w:hAnsi="HERVALIT"/>
          <w:b/>
          <w:bCs/>
        </w:rPr>
        <w:t xml:space="preserve"> </w:t>
      </w:r>
    </w:p>
    <w:p w14:paraId="5239582C" w14:textId="77777777" w:rsidR="00A4799B" w:rsidRDefault="00A4799B" w:rsidP="002F4AEF">
      <w:pPr>
        <w:pStyle w:val="Sinespaciado"/>
        <w:jc w:val="both"/>
        <w:rPr>
          <w:rFonts w:ascii="HERVALIT" w:hAnsi="HERVALIT"/>
        </w:rPr>
      </w:pPr>
    </w:p>
    <w:p w14:paraId="19701023" w14:textId="6F5DEB6C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 xml:space="preserve">La información contable presentada se refiere a bienes, derechos y obligaciones que poseen valor </w:t>
      </w:r>
      <w:r w:rsidR="00AA033E">
        <w:rPr>
          <w:rFonts w:ascii="HERVALIT" w:hAnsi="HERVALIT"/>
        </w:rPr>
        <w:t>e</w:t>
      </w:r>
      <w:r w:rsidRPr="00F02C33">
        <w:rPr>
          <w:rFonts w:ascii="HERVALIT" w:hAnsi="HERVALIT"/>
        </w:rPr>
        <w:t>conómico, susceptibles de ser valuados objetivamente en términos monetarios.</w:t>
      </w:r>
    </w:p>
    <w:p w14:paraId="52B8CE01" w14:textId="77777777" w:rsidR="00A4799B" w:rsidRPr="00F02C33" w:rsidRDefault="00A4799B" w:rsidP="002F4AEF">
      <w:pPr>
        <w:pStyle w:val="Sinespaciado"/>
        <w:jc w:val="both"/>
        <w:rPr>
          <w:rFonts w:ascii="HERVALIT" w:hAnsi="HERVALIT"/>
        </w:rPr>
      </w:pPr>
    </w:p>
    <w:p w14:paraId="7B27CC14" w14:textId="77777777" w:rsidR="00F02C33" w:rsidRPr="001F63A0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>Reconocimiento de las transacciones</w:t>
      </w:r>
    </w:p>
    <w:p w14:paraId="3EE946A2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6F81EA16" w14:textId="5722B325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Las transacciones que afectan a las entidades económicas determinan modificaciones en el</w:t>
      </w:r>
      <w:r w:rsidR="00AA033E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patrimonio, así como en los resultados de las operaciones. El momento en el cual se considera modificado el patrimonio y los resultados de la entidad, es con el devengamiento. Además, se considera consumida la apropiación y ejecutado el presupuesto.</w:t>
      </w:r>
    </w:p>
    <w:p w14:paraId="74DEE4E8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65FE3B03" w14:textId="77777777" w:rsidR="00F02C33" w:rsidRPr="001F63A0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>Registro e imputación presupuestaria</w:t>
      </w:r>
    </w:p>
    <w:p w14:paraId="7E964DFF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593F6949" w14:textId="1BBE5383" w:rsidR="00AA033E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 xml:space="preserve">El Sistema de Contabilidad Gubernamental, registra de acuerdo al Plan de Cuentas Contables y a los procedimientos de registros adoptados, la obtención de los ingresos y la ejecución de los gastos autorizados en el presupuesto del sector público e imputadas a las partidas presupuestarias, de conformidad con las normas, criterios y momentos contables </w:t>
      </w:r>
      <w:r w:rsidR="00B90B2C" w:rsidRPr="00F02C33">
        <w:rPr>
          <w:rFonts w:ascii="HERVALIT" w:hAnsi="HERVALIT"/>
        </w:rPr>
        <w:t xml:space="preserve">establecidos </w:t>
      </w:r>
      <w:r w:rsidR="00B90B2C">
        <w:rPr>
          <w:rFonts w:ascii="HERVALIT" w:hAnsi="HERVALIT"/>
        </w:rPr>
        <w:t>por</w:t>
      </w:r>
      <w:r w:rsidRPr="00F02C33">
        <w:rPr>
          <w:rFonts w:ascii="HERVALIT" w:hAnsi="HERVALIT"/>
        </w:rPr>
        <w:t xml:space="preserve"> la Dirección General</w:t>
      </w:r>
      <w:r w:rsidR="00FB7E93">
        <w:rPr>
          <w:rFonts w:ascii="HERVALIT" w:hAnsi="HERVALIT"/>
        </w:rPr>
        <w:t xml:space="preserve"> de Contabilidad </w:t>
      </w:r>
      <w:r w:rsidR="00FB7E93" w:rsidRPr="00F02C33">
        <w:rPr>
          <w:rFonts w:ascii="HERVALIT" w:hAnsi="HERVALIT"/>
        </w:rPr>
        <w:t>Gubernamental</w:t>
      </w:r>
      <w:r w:rsidRPr="00F02C33">
        <w:rPr>
          <w:rFonts w:ascii="HERVALIT" w:hAnsi="HERVALIT"/>
        </w:rPr>
        <w:t xml:space="preserve"> (</w:t>
      </w:r>
      <w:r w:rsidR="001E2485" w:rsidRPr="000F30D4">
        <w:rPr>
          <w:rFonts w:ascii="HERVALIT" w:hAnsi="HERVALIT"/>
        </w:rPr>
        <w:t>DIGECOG</w:t>
      </w:r>
      <w:r w:rsidRPr="00F02C33">
        <w:rPr>
          <w:rFonts w:ascii="HERVALIT" w:hAnsi="HERVALIT"/>
        </w:rPr>
        <w:t xml:space="preserve">). </w:t>
      </w:r>
    </w:p>
    <w:p w14:paraId="21C2AA6F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64DFF00B" w14:textId="77777777" w:rsidR="00A57267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Las</w:t>
      </w:r>
      <w:r w:rsidR="00A57267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transacciones presupuestarias de gastos se registran en el sistema por el método de partida doble, en reconocimiento de la obligación o gasto devengado y pagado o extinción de la obligación.</w:t>
      </w:r>
    </w:p>
    <w:p w14:paraId="31A9EFBF" w14:textId="77777777" w:rsidR="00A57267" w:rsidRDefault="00A57267" w:rsidP="002F4AEF">
      <w:pPr>
        <w:pStyle w:val="Sinespaciado"/>
        <w:jc w:val="both"/>
        <w:rPr>
          <w:rFonts w:ascii="HERVALIT" w:hAnsi="HERVALIT"/>
        </w:rPr>
      </w:pPr>
    </w:p>
    <w:p w14:paraId="34D7B3F7" w14:textId="301C308B" w:rsidR="00F02C33" w:rsidRDefault="001F63A0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Así</w:t>
      </w:r>
      <w:r>
        <w:rPr>
          <w:rFonts w:ascii="HERVALIT" w:hAnsi="HERVALIT"/>
        </w:rPr>
        <w:t xml:space="preserve"> </w:t>
      </w:r>
      <w:r w:rsidR="00F02C33" w:rsidRPr="00F02C33">
        <w:rPr>
          <w:rFonts w:ascii="HERVALIT" w:hAnsi="HERVALIT"/>
        </w:rPr>
        <w:t>mismo, las transacciones relativas a los ingresos deberán registrarse por el método de lo percibido.</w:t>
      </w:r>
    </w:p>
    <w:p w14:paraId="33E46E42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521FE0BF" w14:textId="77777777" w:rsidR="00F02C33" w:rsidRPr="001F63A0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1F63A0">
        <w:rPr>
          <w:rFonts w:ascii="HERVALIT" w:hAnsi="HERVALIT"/>
          <w:b/>
          <w:bCs/>
        </w:rPr>
        <w:t>Sistema de información</w:t>
      </w:r>
    </w:p>
    <w:p w14:paraId="4421F7BB" w14:textId="77777777" w:rsidR="00AA033E" w:rsidRPr="00F02C33" w:rsidRDefault="00AA033E" w:rsidP="002F4AEF">
      <w:pPr>
        <w:pStyle w:val="Sinespaciado"/>
        <w:jc w:val="both"/>
        <w:rPr>
          <w:rFonts w:ascii="HERVALIT" w:hAnsi="HERVALIT"/>
        </w:rPr>
      </w:pPr>
    </w:p>
    <w:p w14:paraId="519A73F1" w14:textId="158985CD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Los registros y archivos del Sistema de Información de la Gestión Financiera (S</w:t>
      </w:r>
      <w:r w:rsidR="001E2485">
        <w:rPr>
          <w:rFonts w:ascii="HERVALIT" w:hAnsi="HERVALIT"/>
        </w:rPr>
        <w:t>IGEF</w:t>
      </w:r>
      <w:r w:rsidRPr="00F02C33">
        <w:rPr>
          <w:rFonts w:ascii="HERVALIT" w:hAnsi="HERVALIT"/>
        </w:rPr>
        <w:t xml:space="preserve">) son las </w:t>
      </w:r>
      <w:r w:rsidR="00B90B2C">
        <w:rPr>
          <w:rFonts w:ascii="HERVALIT" w:hAnsi="HERVALIT"/>
        </w:rPr>
        <w:t>f</w:t>
      </w:r>
      <w:r w:rsidR="00B90B2C" w:rsidRPr="00F02C33">
        <w:rPr>
          <w:rFonts w:ascii="HERVALIT" w:hAnsi="HERVALIT"/>
        </w:rPr>
        <w:t>uentes</w:t>
      </w:r>
      <w:r w:rsidRPr="00F02C33">
        <w:rPr>
          <w:rFonts w:ascii="HERVALIT" w:hAnsi="HERVALIT"/>
        </w:rPr>
        <w:t xml:space="preserve"> oficiales de información sobre la ejecución del presupuesto de la</w:t>
      </w:r>
      <w:r w:rsidR="001F63A0">
        <w:rPr>
          <w:rFonts w:ascii="HERVALIT" w:hAnsi="HERVALIT"/>
        </w:rPr>
        <w:t xml:space="preserve"> Dirección General de Bienes Nacionales</w:t>
      </w:r>
      <w:r w:rsidRPr="00F02C33">
        <w:rPr>
          <w:rFonts w:ascii="HERVALIT" w:hAnsi="HERVALIT"/>
        </w:rPr>
        <w:t>, al 3</w:t>
      </w:r>
      <w:r w:rsidR="001F63A0">
        <w:rPr>
          <w:rFonts w:ascii="HERVALIT" w:hAnsi="HERVALIT"/>
        </w:rPr>
        <w:t>0</w:t>
      </w:r>
      <w:r w:rsidRPr="00F02C33">
        <w:rPr>
          <w:rFonts w:ascii="HERVALIT" w:hAnsi="HERVALIT"/>
        </w:rPr>
        <w:t xml:space="preserve"> de </w:t>
      </w:r>
      <w:r w:rsidR="001F63A0">
        <w:rPr>
          <w:rFonts w:ascii="HERVALIT" w:hAnsi="HERVALIT"/>
        </w:rPr>
        <w:t>junio</w:t>
      </w:r>
      <w:r w:rsidRPr="00F02C33">
        <w:rPr>
          <w:rFonts w:ascii="HERVALIT" w:hAnsi="HERVALIT"/>
        </w:rPr>
        <w:t xml:space="preserve"> de 202</w:t>
      </w:r>
      <w:r w:rsidR="001F63A0">
        <w:rPr>
          <w:rFonts w:ascii="HERVALIT" w:hAnsi="HERVALIT"/>
        </w:rPr>
        <w:t>6</w:t>
      </w:r>
      <w:r w:rsidRPr="00F02C33">
        <w:rPr>
          <w:rFonts w:ascii="HERVALIT" w:hAnsi="HERVALIT"/>
        </w:rPr>
        <w:t>.</w:t>
      </w:r>
    </w:p>
    <w:p w14:paraId="13A5251A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32FF07C3" w14:textId="44CBB0D4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 xml:space="preserve">El registro de las transacciones de préstamos y donaciones de recursos externos destinados a gastos corrientes o de capital, así como el pago o amortización de </w:t>
      </w:r>
      <w:r w:rsidR="005916DB" w:rsidRPr="00F02C33">
        <w:rPr>
          <w:rFonts w:ascii="HERVALIT" w:hAnsi="HERVALIT"/>
        </w:rPr>
        <w:t>estos</w:t>
      </w:r>
      <w:r w:rsidRPr="00F02C33">
        <w:rPr>
          <w:rFonts w:ascii="HERVALIT" w:hAnsi="HERVALIT"/>
        </w:rPr>
        <w:t xml:space="preserve">, que no pasan por la Tesorería Nacional, son informados a la </w:t>
      </w:r>
      <w:r w:rsidR="001E2485" w:rsidRPr="000F30D4">
        <w:rPr>
          <w:rFonts w:ascii="HERVALIT" w:hAnsi="HERVALIT"/>
        </w:rPr>
        <w:t>DIGECOG</w:t>
      </w:r>
      <w:r w:rsidRPr="00F02C33">
        <w:rPr>
          <w:rFonts w:ascii="HERVALIT" w:hAnsi="HERVALIT"/>
        </w:rPr>
        <w:t xml:space="preserve"> por las instituciones</w:t>
      </w:r>
      <w:r w:rsidR="001F63A0">
        <w:rPr>
          <w:rFonts w:ascii="HERVALIT" w:hAnsi="HERVALIT"/>
        </w:rPr>
        <w:t xml:space="preserve"> Gubernamentales</w:t>
      </w:r>
      <w:r w:rsidRPr="00F02C33">
        <w:rPr>
          <w:rFonts w:ascii="HERVALIT" w:hAnsi="HERVALIT"/>
        </w:rPr>
        <w:t>, según lo establece la Norma 01</w:t>
      </w:r>
      <w:r w:rsidR="00281D08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2024.</w:t>
      </w:r>
    </w:p>
    <w:p w14:paraId="3AE2FA75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7CD99AAE" w14:textId="77777777" w:rsidR="00F02C33" w:rsidRPr="004D4A99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Exposición</w:t>
      </w:r>
    </w:p>
    <w:p w14:paraId="4DDC559B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129A76CD" w14:textId="45EE0E6E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Los estados financieros, deben contener o exponer toda la información necesaria para expresar</w:t>
      </w:r>
      <w:r w:rsidR="004D4A99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adecuadamente la situación económico-financiera, los recursos y gastos de la entidad económica</w:t>
      </w:r>
      <w:r w:rsidR="004D4A99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de manera que los usuarios de la información puedan tomar las decisiones pertinentes.</w:t>
      </w:r>
    </w:p>
    <w:p w14:paraId="090E6318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4ACC4F91" w14:textId="77777777" w:rsidR="00F02C33" w:rsidRPr="004D4A99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Unidad y universalidad</w:t>
      </w:r>
    </w:p>
    <w:p w14:paraId="72FE2E98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4EEA78F4" w14:textId="6BE6AFAA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lastRenderedPageBreak/>
        <w:t xml:space="preserve">El Sistema de Contabilidad Gubernamental, constituye un sistema único e integrado que registra los hechos económicos y financieros que afectan o puedan afectar el patrimonio, los recursos y gastos de la entidad económica </w:t>
      </w:r>
      <w:r w:rsidR="004D4A99">
        <w:rPr>
          <w:rFonts w:ascii="HERVALIT" w:hAnsi="HERVALIT"/>
        </w:rPr>
        <w:t>Dirección General de Bienes Nacionales</w:t>
      </w:r>
      <w:r w:rsidRPr="00F02C33">
        <w:rPr>
          <w:rFonts w:ascii="HERVALIT" w:hAnsi="HERVALIT"/>
        </w:rPr>
        <w:t>.</w:t>
      </w:r>
    </w:p>
    <w:p w14:paraId="64526E7D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142EFC90" w14:textId="77777777" w:rsidR="00F02C33" w:rsidRPr="004D4A99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Uniformidad</w:t>
      </w:r>
    </w:p>
    <w:p w14:paraId="5A67A7B8" w14:textId="77777777" w:rsidR="00281D08" w:rsidRPr="00F02C33" w:rsidRDefault="00281D08" w:rsidP="002F4AEF">
      <w:pPr>
        <w:pStyle w:val="Sinespaciado"/>
        <w:jc w:val="both"/>
        <w:rPr>
          <w:rFonts w:ascii="HERVALIT" w:hAnsi="HERVALIT"/>
        </w:rPr>
      </w:pPr>
    </w:p>
    <w:p w14:paraId="3C40792D" w14:textId="7B5B068B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 xml:space="preserve">La interpretación y análisis de los estados </w:t>
      </w:r>
      <w:r w:rsidR="001E2485" w:rsidRPr="00F02C33">
        <w:rPr>
          <w:rFonts w:ascii="HERVALIT" w:hAnsi="HERVALIT"/>
        </w:rPr>
        <w:t>financieros</w:t>
      </w:r>
      <w:r w:rsidRPr="00F02C33">
        <w:rPr>
          <w:rFonts w:ascii="HERVALIT" w:hAnsi="HERVALIT"/>
        </w:rPr>
        <w:t xml:space="preserve"> requieren la posibilidad de comparar la situación financiera de la entidad económica y los resultados de operaciones en distintas épocas de actividad. En consecuencia, es necesario que la aplicación de las prácticas y procedimientos contables se realice de manera uniforme y consistente, tanto para el período a que se refieren los estados financieros, así como para los anteriores.</w:t>
      </w:r>
    </w:p>
    <w:p w14:paraId="75AA3F19" w14:textId="77777777" w:rsidR="00005BEA" w:rsidRPr="00F02C33" w:rsidRDefault="00005BEA" w:rsidP="002F4AEF">
      <w:pPr>
        <w:pStyle w:val="Sinespaciado"/>
        <w:jc w:val="both"/>
        <w:rPr>
          <w:rFonts w:ascii="HERVALIT" w:hAnsi="HERVALIT"/>
        </w:rPr>
      </w:pPr>
    </w:p>
    <w:p w14:paraId="26A7DB6C" w14:textId="434E26DA" w:rsidR="00005BEA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La identificación de las transacciones de la entidad económica se efectúa sobre la base de la utilización de los clasificadores de cuentas presupuestarias y contables. La aplicación uniforme de estos, hace compatible la información que generan todas las áreas de gestión de</w:t>
      </w:r>
      <w:r w:rsidR="004D4A99">
        <w:rPr>
          <w:rFonts w:ascii="HERVALIT" w:hAnsi="HERVALIT"/>
        </w:rPr>
        <w:t xml:space="preserve"> </w:t>
      </w:r>
      <w:r w:rsidRPr="00F02C33">
        <w:rPr>
          <w:rFonts w:ascii="HERVALIT" w:hAnsi="HERVALIT"/>
        </w:rPr>
        <w:t>l</w:t>
      </w:r>
      <w:r w:rsidR="004D4A99">
        <w:rPr>
          <w:rFonts w:ascii="HERVALIT" w:hAnsi="HERVALIT"/>
        </w:rPr>
        <w:t>a</w:t>
      </w:r>
      <w:r w:rsidRPr="00F02C33">
        <w:rPr>
          <w:rFonts w:ascii="HERVALIT" w:hAnsi="HERVALIT"/>
        </w:rPr>
        <w:t xml:space="preserve"> </w:t>
      </w:r>
      <w:r w:rsidR="004D4A99">
        <w:rPr>
          <w:rFonts w:ascii="HERVALIT" w:hAnsi="HERVALIT"/>
        </w:rPr>
        <w:t>Dirección General de Bienes Nacionales</w:t>
      </w:r>
      <w:r w:rsidRPr="00F02C33">
        <w:rPr>
          <w:rFonts w:ascii="HERVALIT" w:hAnsi="HERVALIT"/>
        </w:rPr>
        <w:t>.</w:t>
      </w:r>
    </w:p>
    <w:p w14:paraId="6B4FD1E8" w14:textId="77777777" w:rsidR="00005BEA" w:rsidRDefault="00005BEA" w:rsidP="002F4AEF">
      <w:pPr>
        <w:pStyle w:val="Sinespaciado"/>
        <w:jc w:val="both"/>
        <w:rPr>
          <w:rFonts w:ascii="HERVALIT" w:hAnsi="HERVALIT"/>
        </w:rPr>
      </w:pPr>
    </w:p>
    <w:p w14:paraId="698529DF" w14:textId="10997CA7" w:rsidR="00F02C33" w:rsidRPr="004D4A99" w:rsidRDefault="00F02C33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Prudencia</w:t>
      </w:r>
    </w:p>
    <w:p w14:paraId="2C8A61D6" w14:textId="77777777" w:rsidR="00005BEA" w:rsidRPr="00F02C33" w:rsidRDefault="00005BEA" w:rsidP="002F4AEF">
      <w:pPr>
        <w:pStyle w:val="Sinespaciado"/>
        <w:jc w:val="both"/>
        <w:rPr>
          <w:rFonts w:ascii="HERVALIT" w:hAnsi="HERVALIT"/>
        </w:rPr>
      </w:pPr>
    </w:p>
    <w:p w14:paraId="15F27761" w14:textId="1CC500A5" w:rsidR="00F02C33" w:rsidRDefault="00F02C33" w:rsidP="002F4AEF">
      <w:pPr>
        <w:pStyle w:val="Sinespaciado"/>
        <w:jc w:val="both"/>
        <w:rPr>
          <w:rFonts w:ascii="HERVALIT" w:hAnsi="HERVALIT"/>
        </w:rPr>
      </w:pPr>
      <w:r w:rsidRPr="00F02C33">
        <w:rPr>
          <w:rFonts w:ascii="HERVALIT" w:hAnsi="HERVALIT"/>
        </w:rPr>
        <w:t>Cuando existen alternativas de procedimiento contable idóneo, igualmente válidas para tratar la medición de un mismo hecho económico-financiero, se adopta el que muestre un resultado y la posición financiera más cercana a la realidad.</w:t>
      </w:r>
    </w:p>
    <w:p w14:paraId="11FFE076" w14:textId="77777777" w:rsidR="00005BEA" w:rsidRDefault="00005BEA" w:rsidP="002F4AEF">
      <w:pPr>
        <w:pStyle w:val="Sinespaciado"/>
        <w:jc w:val="both"/>
        <w:rPr>
          <w:rFonts w:ascii="HERVALIT" w:hAnsi="HERVALIT"/>
        </w:rPr>
      </w:pPr>
    </w:p>
    <w:p w14:paraId="37D9A9EC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No compensación</w:t>
      </w:r>
    </w:p>
    <w:p w14:paraId="2529B6C9" w14:textId="77777777" w:rsidR="00005BEA" w:rsidRPr="00F208F4" w:rsidRDefault="00005BEA" w:rsidP="002F4AEF">
      <w:pPr>
        <w:pStyle w:val="Sinespaciado"/>
        <w:jc w:val="both"/>
        <w:rPr>
          <w:rFonts w:ascii="HERVALIT" w:hAnsi="HERVALIT"/>
        </w:rPr>
      </w:pPr>
    </w:p>
    <w:p w14:paraId="43A445CB" w14:textId="4C55FECE" w:rsidR="00F208F4" w:rsidRP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 xml:space="preserve">En ningún caso se realiza compensación de partidas del activo y del pasivo del Estado de situación </w:t>
      </w:r>
    </w:p>
    <w:p w14:paraId="23887CEC" w14:textId="5F26C9B5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financiera, ni de las partidas de ingresos y gastos que constituyen el Estado de rendimiento financiero, ni los gastos e ingresos que integran el Estado de liquidación del presupuesto. Los elementos que componen las distintas partidas del activo y del pasivo son valoradas separadamente.</w:t>
      </w:r>
    </w:p>
    <w:p w14:paraId="39661D23" w14:textId="77777777" w:rsidR="00005BEA" w:rsidRPr="00F208F4" w:rsidRDefault="00005BEA" w:rsidP="002F4AEF">
      <w:pPr>
        <w:pStyle w:val="Sinespaciado"/>
        <w:jc w:val="both"/>
        <w:rPr>
          <w:rFonts w:ascii="HERVALIT" w:hAnsi="HERVALIT"/>
        </w:rPr>
      </w:pPr>
    </w:p>
    <w:p w14:paraId="462D2A06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Integridad</w:t>
      </w:r>
    </w:p>
    <w:p w14:paraId="3795995D" w14:textId="77777777" w:rsidR="00005BEA" w:rsidRPr="00F208F4" w:rsidRDefault="00005BEA" w:rsidP="002F4AEF">
      <w:pPr>
        <w:pStyle w:val="Sinespaciado"/>
        <w:jc w:val="both"/>
        <w:rPr>
          <w:rFonts w:ascii="HERVALIT" w:hAnsi="HERVALIT"/>
        </w:rPr>
      </w:pPr>
    </w:p>
    <w:p w14:paraId="5119BDE2" w14:textId="4CCF76E0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Los estados financieros de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l</w:t>
      </w:r>
      <w:r w:rsidR="004D4A99">
        <w:rPr>
          <w:rFonts w:ascii="HERVALIT" w:hAnsi="HERVALIT"/>
        </w:rPr>
        <w:t>a</w:t>
      </w:r>
      <w:r w:rsidRPr="00F208F4">
        <w:rPr>
          <w:rFonts w:ascii="HERVALIT" w:hAnsi="HERVALIT"/>
        </w:rPr>
        <w:t xml:space="preserve"> </w:t>
      </w:r>
      <w:r w:rsidR="004D4A99">
        <w:rPr>
          <w:rFonts w:ascii="HERVALIT" w:hAnsi="HERVALIT"/>
        </w:rPr>
        <w:t>Dirección General de Bienes Nacionales</w:t>
      </w:r>
      <w:r w:rsidRPr="00F208F4">
        <w:rPr>
          <w:rFonts w:ascii="HERVALIT" w:hAnsi="HERVALIT"/>
        </w:rPr>
        <w:t>, constituyen la expresión final de los registros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sistemáticos, correspondientes a la totalidad de los hechos financieros y económicos.</w:t>
      </w:r>
    </w:p>
    <w:p w14:paraId="196F182F" w14:textId="77777777" w:rsidR="00005BEA" w:rsidRPr="00F208F4" w:rsidRDefault="00005BEA" w:rsidP="002F4AEF">
      <w:pPr>
        <w:pStyle w:val="Sinespaciado"/>
        <w:jc w:val="both"/>
        <w:rPr>
          <w:rFonts w:ascii="HERVALIT" w:hAnsi="HERVALIT"/>
        </w:rPr>
      </w:pPr>
    </w:p>
    <w:p w14:paraId="639658FF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Oportunidad</w:t>
      </w:r>
    </w:p>
    <w:p w14:paraId="4F9B9336" w14:textId="77777777" w:rsidR="00005BEA" w:rsidRPr="00F208F4" w:rsidRDefault="00005BEA" w:rsidP="002F4AEF">
      <w:pPr>
        <w:pStyle w:val="Sinespaciado"/>
        <w:jc w:val="both"/>
        <w:rPr>
          <w:rFonts w:ascii="HERVALIT" w:hAnsi="HERVALIT"/>
        </w:rPr>
      </w:pPr>
    </w:p>
    <w:p w14:paraId="5F213D7D" w14:textId="646255EA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El Sistema de Contabilidad Gubernamental comprende el registro, procesamiento y presentación de la información contable en los momentos y circunstancias debidas.</w:t>
      </w:r>
    </w:p>
    <w:p w14:paraId="6F1E804B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1940BBC7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Transparencia</w:t>
      </w:r>
    </w:p>
    <w:p w14:paraId="4BCF202B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70CB86BB" w14:textId="6411E23E" w:rsidR="00F208F4" w:rsidRP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 xml:space="preserve">Los estados financieros, informes técnicos y otros reportes emanados del Sistema de Contabilidad </w:t>
      </w:r>
    </w:p>
    <w:p w14:paraId="1D3C8E66" w14:textId="689E4CD7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 xml:space="preserve">Gubernamental, son elaborados para ser presentados a la Cámara de Cuentas, Congreso Nacional, Poder Ejecutivo y disponible a terceros interesados de acuerdo a </w:t>
      </w:r>
      <w:r w:rsidR="004D4A99">
        <w:rPr>
          <w:rFonts w:ascii="HERVALIT" w:hAnsi="HERVALIT"/>
        </w:rPr>
        <w:t>la</w:t>
      </w:r>
      <w:r w:rsidRPr="00F208F4">
        <w:rPr>
          <w:rFonts w:ascii="HERVALIT" w:hAnsi="HERVALIT"/>
        </w:rPr>
        <w:t xml:space="preserve"> Ley núm. 126-01 y la Ley General de Libre Acceso a la Información Pública núm. 200-04.</w:t>
      </w:r>
    </w:p>
    <w:p w14:paraId="06EAC1D0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372FA2B7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Legalidad</w:t>
      </w:r>
    </w:p>
    <w:p w14:paraId="3920B1BD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7CB38CB7" w14:textId="214B83A7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Cuando producto de la aplicación y/o interpretación de un principio de contabilidad, se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produzcan situaciones que contravengan disposiciones legales vigentes, se considerará la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primacía de la legislación respecto a las normas contables. La primacía de registrar y exponer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el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hecho económico de acuerdo a las disposiciones legales, si se produjere, se consignará en notas a</w:t>
      </w:r>
      <w:r w:rsidR="004D4A99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los estados financieros.</w:t>
      </w:r>
    </w:p>
    <w:p w14:paraId="37BA2285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0F2A562C" w14:textId="77777777" w:rsidR="00F208F4" w:rsidRPr="004D4A99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4D4A99">
        <w:rPr>
          <w:rFonts w:ascii="HERVALIT" w:hAnsi="HERVALIT"/>
          <w:b/>
          <w:bCs/>
        </w:rPr>
        <w:t>Período contable</w:t>
      </w:r>
    </w:p>
    <w:p w14:paraId="5CAB188F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06DBCD32" w14:textId="0A101345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La Ley núm. 126-01 del 27 de julio de 2001 establece que, el ejercicio del c</w:t>
      </w:r>
      <w:r w:rsidR="004D4A99">
        <w:rPr>
          <w:rFonts w:ascii="HERVALIT" w:hAnsi="HERVALIT"/>
        </w:rPr>
        <w:t>orte</w:t>
      </w:r>
      <w:r w:rsidRPr="00F208F4">
        <w:rPr>
          <w:rFonts w:ascii="HERVALIT" w:hAnsi="HERVALIT"/>
        </w:rPr>
        <w:t xml:space="preserve"> </w:t>
      </w:r>
      <w:r w:rsidR="004D4A99">
        <w:rPr>
          <w:rFonts w:ascii="HERVALIT" w:hAnsi="HERVALIT"/>
        </w:rPr>
        <w:t>semestral</w:t>
      </w:r>
      <w:r w:rsidRPr="00F208F4">
        <w:rPr>
          <w:rFonts w:ascii="HERVALIT" w:hAnsi="HERVALIT"/>
        </w:rPr>
        <w:t xml:space="preserve"> para </w:t>
      </w:r>
      <w:r w:rsidR="004D4A99">
        <w:rPr>
          <w:rFonts w:ascii="HERVALIT" w:hAnsi="HERVALIT"/>
        </w:rPr>
        <w:t>la Dirección General de Bienes Nacionales</w:t>
      </w:r>
      <w:r w:rsidR="004D4A99" w:rsidRPr="00F208F4">
        <w:rPr>
          <w:rFonts w:ascii="HERVALIT" w:hAnsi="HERVALIT"/>
        </w:rPr>
        <w:t xml:space="preserve"> </w:t>
      </w:r>
      <w:r w:rsidR="009B4E98">
        <w:rPr>
          <w:rFonts w:ascii="HERVALIT" w:hAnsi="HERVALIT"/>
        </w:rPr>
        <w:t>y</w:t>
      </w:r>
      <w:r w:rsidRPr="00F208F4">
        <w:rPr>
          <w:rFonts w:ascii="HERVALIT" w:hAnsi="HERVALIT"/>
        </w:rPr>
        <w:t xml:space="preserve"> estas notas, abarca desde el uno (1) de enero al treinta</w:t>
      </w:r>
      <w:r w:rsidR="009B4E98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(3</w:t>
      </w:r>
      <w:r w:rsidR="009B4E98">
        <w:rPr>
          <w:rFonts w:ascii="HERVALIT" w:hAnsi="HERVALIT"/>
        </w:rPr>
        <w:t>0</w:t>
      </w:r>
      <w:r w:rsidRPr="00F208F4">
        <w:rPr>
          <w:rFonts w:ascii="HERVALIT" w:hAnsi="HERVALIT"/>
        </w:rPr>
        <w:t xml:space="preserve">) de </w:t>
      </w:r>
      <w:r w:rsidR="009B4E98">
        <w:rPr>
          <w:rFonts w:ascii="HERVALIT" w:hAnsi="HERVALIT"/>
        </w:rPr>
        <w:t>junio</w:t>
      </w:r>
      <w:r w:rsidRPr="00F208F4">
        <w:rPr>
          <w:rFonts w:ascii="HERVALIT" w:hAnsi="HERVALIT"/>
        </w:rPr>
        <w:t>.</w:t>
      </w:r>
    </w:p>
    <w:p w14:paraId="7CD3645F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395BA58C" w14:textId="77777777" w:rsidR="00F208F4" w:rsidRPr="009B4E98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9B4E98">
        <w:rPr>
          <w:rFonts w:ascii="HERVALIT" w:hAnsi="HERVALIT"/>
          <w:b/>
          <w:bCs/>
        </w:rPr>
        <w:t>Información comparativa</w:t>
      </w:r>
    </w:p>
    <w:p w14:paraId="2F521C54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661CE7C2" w14:textId="1E6E1F4B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Los estados financieros, así como las notas que son parte integral de los mismos, presentan información comparativa, respecto al período anterior, con excepción del primer ejercicio contable y los cortes dentro de un período. La información comparativa se presenta en la parte narrativa y descriptiva.</w:t>
      </w:r>
    </w:p>
    <w:p w14:paraId="53D1067F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3528B972" w14:textId="37E48930" w:rsidR="00F208F4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Los estados financieros al 3</w:t>
      </w:r>
      <w:r w:rsidR="009B4E98">
        <w:rPr>
          <w:rFonts w:ascii="HERVALIT" w:hAnsi="HERVALIT"/>
        </w:rPr>
        <w:t>0</w:t>
      </w:r>
      <w:r w:rsidRPr="00F208F4">
        <w:rPr>
          <w:rFonts w:ascii="HERVALIT" w:hAnsi="HERVALIT"/>
        </w:rPr>
        <w:t xml:space="preserve"> de </w:t>
      </w:r>
      <w:r w:rsidR="009B4E98">
        <w:rPr>
          <w:rFonts w:ascii="HERVALIT" w:hAnsi="HERVALIT"/>
        </w:rPr>
        <w:t>junio</w:t>
      </w:r>
      <w:r w:rsidRPr="00F208F4">
        <w:rPr>
          <w:rFonts w:ascii="HERVALIT" w:hAnsi="HERVALIT"/>
        </w:rPr>
        <w:t xml:space="preserve"> de 202</w:t>
      </w:r>
      <w:r w:rsidR="009B4E98">
        <w:rPr>
          <w:rFonts w:ascii="HERVALIT" w:hAnsi="HERVALIT"/>
        </w:rPr>
        <w:t>6</w:t>
      </w:r>
      <w:r w:rsidRPr="00F208F4">
        <w:rPr>
          <w:rFonts w:ascii="HERVALIT" w:hAnsi="HERVALIT"/>
        </w:rPr>
        <w:t>, presentan las informaciones financieras de manera comparativa. Los mismos son producidos por el Sistema de Contabilidad Gubernamental, el cual está soportado por una plataforma informática con aplicaciones multi-módulo con capacidad para procesar y producir informes financieros en tiempo real sobre las operaciones económicas, llevadas a cabo por las instituciones del Gobierno Central en el cumplimiento de los objetivos estatales.</w:t>
      </w:r>
    </w:p>
    <w:p w14:paraId="5B1B7761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765F1198" w14:textId="77777777" w:rsidR="00F208F4" w:rsidRPr="009B4E98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9B4E98">
        <w:rPr>
          <w:rFonts w:ascii="HERVALIT" w:hAnsi="HERVALIT"/>
          <w:b/>
          <w:bCs/>
        </w:rPr>
        <w:t>Nota 3: Moneda funcional y de presentación</w:t>
      </w:r>
    </w:p>
    <w:p w14:paraId="1C655F59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77FDBC71" w14:textId="67B3B266" w:rsidR="00CD1E68" w:rsidRDefault="00F208F4" w:rsidP="002F4AEF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La moneda de curso legal es el peso dominicano (RD$) y se expresa a su valor nominal. Por otra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parte, la moneda extranjera se valúa por la tasa de cambio vigente para la compra, al momento de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cada transacción y al cierre de cada ejercicio, por su cotización al tipo de cambio comprador a esa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fecha.</w:t>
      </w:r>
    </w:p>
    <w:p w14:paraId="35C26F5C" w14:textId="77777777" w:rsidR="00CD1E68" w:rsidRDefault="00CD1E68" w:rsidP="002F4AEF">
      <w:pPr>
        <w:pStyle w:val="Sinespaciado"/>
        <w:jc w:val="both"/>
        <w:rPr>
          <w:rFonts w:ascii="HERVALIT" w:hAnsi="HERVALIT"/>
        </w:rPr>
      </w:pPr>
    </w:p>
    <w:p w14:paraId="3B9546CB" w14:textId="5C3343F2" w:rsidR="00F208F4" w:rsidRPr="009B4E98" w:rsidRDefault="00F208F4" w:rsidP="002F4AEF">
      <w:pPr>
        <w:pStyle w:val="Sinespaciado"/>
        <w:jc w:val="both"/>
        <w:rPr>
          <w:rFonts w:ascii="HERVALIT" w:hAnsi="HERVALIT"/>
          <w:b/>
          <w:bCs/>
        </w:rPr>
      </w:pPr>
      <w:r w:rsidRPr="009B4E98">
        <w:rPr>
          <w:rFonts w:ascii="HERVALIT" w:hAnsi="HERVALIT"/>
          <w:b/>
          <w:bCs/>
        </w:rPr>
        <w:t>Nota 4: Uso de estimados y juicios</w:t>
      </w:r>
    </w:p>
    <w:p w14:paraId="78E5ED47" w14:textId="77777777" w:rsidR="00CD1E68" w:rsidRPr="00F208F4" w:rsidRDefault="00CD1E68" w:rsidP="002F4AEF">
      <w:pPr>
        <w:pStyle w:val="Sinespaciado"/>
        <w:jc w:val="both"/>
        <w:rPr>
          <w:rFonts w:ascii="HERVALIT" w:hAnsi="HERVALIT"/>
        </w:rPr>
      </w:pPr>
    </w:p>
    <w:p w14:paraId="04ED5C21" w14:textId="4580AAFD" w:rsidR="00F02C33" w:rsidRDefault="00F208F4" w:rsidP="001E4432">
      <w:pPr>
        <w:pStyle w:val="Sinespaciado"/>
        <w:jc w:val="both"/>
        <w:rPr>
          <w:rFonts w:ascii="HERVALIT" w:hAnsi="HERVALIT"/>
        </w:rPr>
      </w:pPr>
      <w:r w:rsidRPr="00F208F4">
        <w:rPr>
          <w:rFonts w:ascii="HERVALIT" w:hAnsi="HERVALIT"/>
        </w:rPr>
        <w:t>La preparación de los estados financieros de conformidad con las NICSP, requieren que la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administración realice juicios, estimaciones y supuestos que afectan la aplicación de las Políticas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Contables y los montos de activos, pasivos, ingresos y gastos reportados. Los resultados reales</w:t>
      </w:r>
      <w:r w:rsidR="001E4432">
        <w:rPr>
          <w:rFonts w:ascii="HERVALIT" w:hAnsi="HERVALIT"/>
        </w:rPr>
        <w:t xml:space="preserve"> </w:t>
      </w:r>
      <w:r w:rsidRPr="00F208F4">
        <w:rPr>
          <w:rFonts w:ascii="HERVALIT" w:hAnsi="HERVALIT"/>
        </w:rPr>
        <w:t>pueden diferir de estas estimaciones.</w:t>
      </w:r>
    </w:p>
    <w:p w14:paraId="3AD882A3" w14:textId="77777777" w:rsidR="00CD1E68" w:rsidRDefault="00CD1E68" w:rsidP="002F4AEF">
      <w:pPr>
        <w:pStyle w:val="Sinespaciado"/>
        <w:jc w:val="both"/>
        <w:rPr>
          <w:rFonts w:ascii="HERVALIT" w:hAnsi="HERVALIT"/>
        </w:rPr>
      </w:pPr>
    </w:p>
    <w:p w14:paraId="0883E45B" w14:textId="77777777" w:rsidR="00156A5B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Las estimaciones y supuestos relevantes son revisados regularmente, las</w:t>
      </w:r>
      <w:r w:rsidR="00156A5B">
        <w:rPr>
          <w:rFonts w:ascii="HERVALIT" w:hAnsi="HERVALIT"/>
        </w:rPr>
        <w:t xml:space="preserve"> </w:t>
      </w:r>
      <w:r w:rsidR="00156A5B" w:rsidRPr="0024233A">
        <w:rPr>
          <w:rFonts w:ascii="HERVALIT" w:hAnsi="HERVALIT"/>
        </w:rPr>
        <w:t>cuales son reconocidas</w:t>
      </w:r>
      <w:r w:rsidRPr="0024233A">
        <w:rPr>
          <w:rFonts w:ascii="HERVALIT" w:hAnsi="HERVALIT"/>
        </w:rPr>
        <w:t xml:space="preserve"> prospectivamente.</w:t>
      </w:r>
    </w:p>
    <w:p w14:paraId="0869AF29" w14:textId="77777777" w:rsidR="00156A5B" w:rsidRDefault="00156A5B" w:rsidP="002F4AEF">
      <w:pPr>
        <w:pStyle w:val="Sinespaciado"/>
        <w:jc w:val="both"/>
        <w:rPr>
          <w:rFonts w:ascii="HERVALIT" w:hAnsi="HERVALIT"/>
        </w:rPr>
      </w:pPr>
    </w:p>
    <w:p w14:paraId="56A9F6DF" w14:textId="46DC31A7" w:rsidR="00CD1E68" w:rsidRPr="00156A5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56A5B">
        <w:rPr>
          <w:rFonts w:ascii="HERVALIT" w:hAnsi="HERVALIT"/>
          <w:b/>
          <w:bCs/>
        </w:rPr>
        <w:t xml:space="preserve">Supuestos e incertidumbre en las estimaciones </w:t>
      </w:r>
    </w:p>
    <w:p w14:paraId="6B1E401A" w14:textId="77777777" w:rsidR="00CD1E68" w:rsidRDefault="00CD1E68" w:rsidP="002F4AEF">
      <w:pPr>
        <w:pStyle w:val="Sinespaciado"/>
        <w:jc w:val="both"/>
        <w:rPr>
          <w:rFonts w:ascii="HERVALIT" w:hAnsi="HERVALIT"/>
        </w:rPr>
      </w:pPr>
    </w:p>
    <w:p w14:paraId="75FA8E9E" w14:textId="367CC619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lastRenderedPageBreak/>
        <w:t>La información sobre los supuestos e incertidumbres de estimación que tiene un riesgo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significativo de resultar en un ajuste material para el cierre de los períodos fiscales 202</w:t>
      </w:r>
      <w:r w:rsidR="00156A5B">
        <w:rPr>
          <w:rFonts w:ascii="HERVALIT" w:hAnsi="HERVALIT"/>
        </w:rPr>
        <w:t>6</w:t>
      </w:r>
      <w:r w:rsidRPr="0024233A">
        <w:rPr>
          <w:rFonts w:ascii="HERVALIT" w:hAnsi="HERVALIT"/>
        </w:rPr>
        <w:t xml:space="preserve"> y 202</w:t>
      </w:r>
      <w:r w:rsidR="00156A5B">
        <w:rPr>
          <w:rFonts w:ascii="HERVALIT" w:hAnsi="HERVALIT"/>
        </w:rPr>
        <w:t>5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 incluye en la nota referente a compromisos y contingencias; reconocimiento y medición de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contingencias; supuestos claves relacionados con la probabilidad y magnitud de una salida de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recursos económicos.</w:t>
      </w:r>
    </w:p>
    <w:p w14:paraId="5F03EA12" w14:textId="77777777" w:rsidR="00CD1E68" w:rsidRPr="0024233A" w:rsidRDefault="00CD1E68" w:rsidP="002F4AEF">
      <w:pPr>
        <w:pStyle w:val="Sinespaciado"/>
        <w:jc w:val="both"/>
        <w:rPr>
          <w:rFonts w:ascii="HERVALIT" w:hAnsi="HERVALIT"/>
        </w:rPr>
      </w:pPr>
    </w:p>
    <w:p w14:paraId="283E2DF3" w14:textId="77777777" w:rsidR="0024233A" w:rsidRPr="00156A5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56A5B">
        <w:rPr>
          <w:rFonts w:ascii="HERVALIT" w:hAnsi="HERVALIT"/>
          <w:b/>
          <w:bCs/>
        </w:rPr>
        <w:t xml:space="preserve">Medición de los valores razonables </w:t>
      </w:r>
    </w:p>
    <w:p w14:paraId="554F0F07" w14:textId="77777777" w:rsidR="00CD1E68" w:rsidRDefault="00CD1E68" w:rsidP="002F4AEF">
      <w:pPr>
        <w:pStyle w:val="Sinespaciado"/>
        <w:jc w:val="both"/>
        <w:rPr>
          <w:rFonts w:ascii="HERVALIT" w:hAnsi="HERVALIT"/>
        </w:rPr>
      </w:pPr>
    </w:p>
    <w:p w14:paraId="4FE943E1" w14:textId="3E0C551B" w:rsidR="0024233A" w:rsidRDefault="00156A5B" w:rsidP="002F4AEF">
      <w:pPr>
        <w:pStyle w:val="Sinespaciado"/>
        <w:jc w:val="both"/>
        <w:rPr>
          <w:rFonts w:ascii="HERVALIT" w:hAnsi="HERVALIT"/>
        </w:rPr>
      </w:pPr>
      <w:r>
        <w:rPr>
          <w:rFonts w:ascii="HERVALIT" w:hAnsi="HERVALIT"/>
        </w:rPr>
        <w:t>La Dirección General de Bienes Nacionales</w:t>
      </w:r>
      <w:r w:rsidR="0024233A" w:rsidRPr="0024233A">
        <w:rPr>
          <w:rFonts w:ascii="HERVALIT" w:hAnsi="HERVALIT"/>
        </w:rPr>
        <w:t xml:space="preserve"> cuenta con un marco de control establecido en relación con el cálculo de los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valores razonables y tiene la responsabilidad general de la supervisión de todas las mediciones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significativas de este, incluyendo los de Nivel 3. Cuando se mide el valor razonable de un activo o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 xml:space="preserve">pasivo, </w:t>
      </w:r>
      <w:r>
        <w:rPr>
          <w:rFonts w:ascii="HERVALIT" w:hAnsi="HERVALIT"/>
        </w:rPr>
        <w:t>la Dirección General de Bienes Nacionales</w:t>
      </w:r>
      <w:r w:rsidRPr="0024233A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utiliza, siempre que sea posible, precios cotizados en un mercado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activo. Si el mercado para un activo o pasivo no es activo, la entidad establecerá el valor razonable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utilizando una técnica de valoración. Con esta se busca establecer cuál sería el precio de una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transacción realizada a la fecha de medición. Los valores se clasifican en niveles distintos dentro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 xml:space="preserve">de una jerarquía como sigue: </w:t>
      </w:r>
    </w:p>
    <w:p w14:paraId="3981BB37" w14:textId="77777777" w:rsidR="00CD1E68" w:rsidRPr="0024233A" w:rsidRDefault="00CD1E68" w:rsidP="002F4AEF">
      <w:pPr>
        <w:pStyle w:val="Sinespaciado"/>
        <w:jc w:val="both"/>
        <w:rPr>
          <w:rFonts w:ascii="HERVALIT" w:hAnsi="HERVALIT"/>
        </w:rPr>
      </w:pPr>
    </w:p>
    <w:p w14:paraId="5832D049" w14:textId="2B9252A1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Nivel 1: Precios cotizados (no-ajustados) en mercados activos para activos o pasivos idénticos.</w:t>
      </w:r>
    </w:p>
    <w:p w14:paraId="453564EE" w14:textId="77777777" w:rsidR="00CD1E68" w:rsidRDefault="00CD1E68" w:rsidP="002F4AEF">
      <w:pPr>
        <w:pStyle w:val="Sinespaciado"/>
        <w:jc w:val="both"/>
        <w:rPr>
          <w:rFonts w:ascii="HERVALIT" w:hAnsi="HERVALIT"/>
        </w:rPr>
      </w:pPr>
    </w:p>
    <w:p w14:paraId="03B1BE6D" w14:textId="46B2D2B7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Nivel 2: Datos diferentes de los precios cotizados incluidos en el Nivel 1 que sean observables para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 xml:space="preserve">el activo o pasivo, ya sea directa (precios) o indirectamente (derivados de los precios). </w:t>
      </w:r>
    </w:p>
    <w:p w14:paraId="1742AEF8" w14:textId="77777777" w:rsidR="00CD1E68" w:rsidRPr="0024233A" w:rsidRDefault="00CD1E68" w:rsidP="002F4AEF">
      <w:pPr>
        <w:pStyle w:val="Sinespaciado"/>
        <w:jc w:val="both"/>
        <w:rPr>
          <w:rFonts w:ascii="HERVALIT" w:hAnsi="HERVALIT"/>
        </w:rPr>
      </w:pPr>
    </w:p>
    <w:p w14:paraId="6D823BA7" w14:textId="204B31A8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Nivel 3: Datos para el activo o pasivo que no se basan en datos de mercado observables (variables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no observables). Si las variables usadas para medir el valor razonable de un activo o pasivo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pueden clasificarse en niveles distintos de la jerarquía del valor razonable, entonces la medición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 clasifica en su totalidad en el mismo nivel de la jerarquía que la variable de nivel más bajo que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sea significativa para la medición total.</w:t>
      </w:r>
    </w:p>
    <w:p w14:paraId="6DAAEAC9" w14:textId="77777777" w:rsidR="00CD1E68" w:rsidRPr="0024233A" w:rsidRDefault="00CD1E68" w:rsidP="002F4AEF">
      <w:pPr>
        <w:pStyle w:val="Sinespaciado"/>
        <w:jc w:val="both"/>
        <w:rPr>
          <w:rFonts w:ascii="HERVALIT" w:hAnsi="HERVALIT"/>
        </w:rPr>
      </w:pPr>
    </w:p>
    <w:p w14:paraId="06B49759" w14:textId="1F95C416" w:rsidR="0024233A" w:rsidRDefault="00156A5B" w:rsidP="002F4AEF">
      <w:pPr>
        <w:pStyle w:val="Sinespaciado"/>
        <w:jc w:val="both"/>
        <w:rPr>
          <w:rFonts w:ascii="HERVALIT" w:hAnsi="HERVALIT"/>
        </w:rPr>
      </w:pPr>
      <w:r>
        <w:rPr>
          <w:rFonts w:ascii="HERVALIT" w:hAnsi="HERVALIT"/>
        </w:rPr>
        <w:t>La Dirección General de Bienes Nacionales</w:t>
      </w:r>
      <w:r w:rsidRPr="0024233A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reconoce las transferencias entre los niveles de la jerarquía del valor</w:t>
      </w:r>
      <w:r w:rsidR="001E4432">
        <w:rPr>
          <w:rFonts w:ascii="HERVALIT" w:hAnsi="HERVALIT"/>
        </w:rPr>
        <w:t xml:space="preserve"> </w:t>
      </w:r>
      <w:r w:rsidR="0024233A" w:rsidRPr="0024233A">
        <w:rPr>
          <w:rFonts w:ascii="HERVALIT" w:hAnsi="HERVALIT"/>
        </w:rPr>
        <w:t>razonable al final del período sobre el que se informa durante el que ocurrió el cambio.</w:t>
      </w:r>
    </w:p>
    <w:p w14:paraId="389B0AEA" w14:textId="77777777" w:rsidR="00CD1E68" w:rsidRPr="0024233A" w:rsidRDefault="00CD1E68" w:rsidP="002F4AEF">
      <w:pPr>
        <w:pStyle w:val="Sinespaciado"/>
        <w:jc w:val="both"/>
        <w:rPr>
          <w:rFonts w:ascii="HERVALIT" w:hAnsi="HERVALIT"/>
        </w:rPr>
      </w:pPr>
    </w:p>
    <w:p w14:paraId="591EE33C" w14:textId="77777777" w:rsidR="0024233A" w:rsidRPr="00156A5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56A5B">
        <w:rPr>
          <w:rFonts w:ascii="HERVALIT" w:hAnsi="HERVALIT"/>
          <w:b/>
          <w:bCs/>
        </w:rPr>
        <w:t>Nota 5: Base de Medición</w:t>
      </w:r>
    </w:p>
    <w:p w14:paraId="784C8424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53AD56B2" w14:textId="2A76425B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Estos estados financieros han sido preparados sobre la base del costo histórico.</w:t>
      </w:r>
    </w:p>
    <w:p w14:paraId="413B1BBC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2ECAB9F2" w14:textId="13A3C5DB" w:rsidR="0024233A" w:rsidRPr="00156A5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56A5B">
        <w:rPr>
          <w:rFonts w:ascii="HERVALIT" w:hAnsi="HERVALIT"/>
          <w:b/>
          <w:bCs/>
        </w:rPr>
        <w:t xml:space="preserve">Nota 6: Resumen de políticas contables significativas </w:t>
      </w:r>
    </w:p>
    <w:p w14:paraId="09D25AAA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324C4F9B" w14:textId="77777777" w:rsidR="0024233A" w:rsidRPr="00156A5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56A5B">
        <w:rPr>
          <w:rFonts w:ascii="HERVALIT" w:hAnsi="HERVALIT"/>
          <w:b/>
          <w:bCs/>
        </w:rPr>
        <w:t>Efectivo y equivalentes de efectivo</w:t>
      </w:r>
    </w:p>
    <w:p w14:paraId="498AC5FF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00AA2779" w14:textId="608105AD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El efectivo y equivalentes de efectivo incluyen el dinero en caja y bancos, así como, las inversiones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 alta liquidez, fácilmente convertibles en una cantidad determinada de efectivo y sujetas a un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riesgo insignificante de cambios en su valor, con un vencimiento de tres meses o menos, desde la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fecha de su adquisición.</w:t>
      </w:r>
    </w:p>
    <w:p w14:paraId="07EE05FD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1AB8F44C" w14:textId="77777777" w:rsidR="0024233A" w:rsidRPr="00FF0DF3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FF0DF3">
        <w:rPr>
          <w:rFonts w:ascii="HERVALIT" w:hAnsi="HERVALIT"/>
          <w:b/>
          <w:bCs/>
        </w:rPr>
        <w:t>Inversiones Corrientes e Inversiones a Largo Plazo</w:t>
      </w:r>
    </w:p>
    <w:p w14:paraId="2C0F7848" w14:textId="77777777" w:rsidR="0031278D" w:rsidRPr="0024233A" w:rsidRDefault="0031278D" w:rsidP="002F4AEF">
      <w:pPr>
        <w:pStyle w:val="Sinespaciado"/>
        <w:jc w:val="both"/>
        <w:rPr>
          <w:rFonts w:ascii="HERVALIT" w:hAnsi="HERVALIT"/>
        </w:rPr>
      </w:pPr>
    </w:p>
    <w:p w14:paraId="606655D8" w14:textId="711662D9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lastRenderedPageBreak/>
        <w:t>La adquisición de títulos valores negociables se registrará por su valor de costo o adquisición. Las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inversiones a plazo fijo o indefinidos, no vencidos al cierre del ejercicio fiscal, se valúan por su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valor nominal más los intereses devengados hasta esa fecha. Las inversiones con cotización en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mercados de valores y las participaciones permanentes en sociedades en la que se ejerza</w:t>
      </w:r>
      <w:r w:rsidR="00FF0DF3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influencia significativa, se valuarán a sus respectivas cotizaciones a la fecha de cierre del período,</w:t>
      </w:r>
      <w:r w:rsidR="00FF0DF3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exceptuando los gastos estimados de ventas e impuestos, y cuando se trate de en las que se ejerza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control o influencia significativa en las decisiones, se valuarán a su valor patrimonial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proporcional.</w:t>
      </w:r>
    </w:p>
    <w:p w14:paraId="1FE20CC1" w14:textId="77777777" w:rsidR="0024233A" w:rsidRDefault="0024233A" w:rsidP="002F4AEF">
      <w:pPr>
        <w:pStyle w:val="Sinespaciado"/>
        <w:jc w:val="both"/>
        <w:rPr>
          <w:rFonts w:ascii="HERVALIT" w:hAnsi="HERVALIT"/>
        </w:rPr>
      </w:pPr>
    </w:p>
    <w:p w14:paraId="6F8B8E02" w14:textId="2860EAC1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Asimismo, si durante el período se realizan transferencias de capital para inversiones en títulos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valores a instituciones descentralizadas y empresas públicas, estas serán clasificadas y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registradas como participaciones y aportes de capital, sujetas a verificación a través de la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consolidación de los estados financieros.</w:t>
      </w:r>
    </w:p>
    <w:p w14:paraId="4BA4F925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57D3CB07" w14:textId="77777777" w:rsidR="0024233A" w:rsidRPr="00A2597B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A2597B">
        <w:rPr>
          <w:rFonts w:ascii="HERVALIT" w:hAnsi="HERVALIT"/>
          <w:b/>
          <w:bCs/>
        </w:rPr>
        <w:t>Cuentas y documentos por cobrar</w:t>
      </w:r>
    </w:p>
    <w:p w14:paraId="26232B2C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180F47F8" w14:textId="25880285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Las cuentas y documentos por cobrar a corto plazo son valuados conforme a las acreencias que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tenga la entidad económica hacia terceros, según surjan de los derechos u obligaciones</w:t>
      </w:r>
      <w:r w:rsidR="001E443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resultantes de cada transacción.</w:t>
      </w:r>
    </w:p>
    <w:p w14:paraId="55F554B4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1D48C0B3" w14:textId="77777777" w:rsidR="0024233A" w:rsidRPr="004B4B90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4B4B90">
        <w:rPr>
          <w:rFonts w:ascii="HERVALIT" w:hAnsi="HERVALIT"/>
          <w:b/>
          <w:bCs/>
        </w:rPr>
        <w:t>Bienes de cambio en general</w:t>
      </w:r>
    </w:p>
    <w:p w14:paraId="2B73B93E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41A2909F" w14:textId="59A754DF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bienes de cambio o de consumo se valúan al costo de adquisición o producción en que se</w:t>
      </w:r>
      <w:r w:rsidR="00430615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incurre para obtener el bien. El costo de adquisición está constituido por los montos de las</w:t>
      </w:r>
      <w:r w:rsidR="00430615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erogaciones efectuadas para su compra o producción y todos los gastos incurridos para situarlo</w:t>
      </w:r>
      <w:r w:rsidR="00430615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en el lugar de destino, ajustado a las condiciones de su uso o venta.</w:t>
      </w:r>
    </w:p>
    <w:p w14:paraId="6B85764F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6B1C90BA" w14:textId="2BF23842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costos por intereses relacionados con el financiamiento de la adquisición o producción del</w:t>
      </w:r>
      <w:r w:rsidR="0039119F">
        <w:rPr>
          <w:rFonts w:ascii="HERVALIT" w:hAnsi="HERVALIT"/>
        </w:rPr>
        <w:t xml:space="preserve"> </w:t>
      </w:r>
      <w:r w:rsidR="00430615" w:rsidRPr="0024233A">
        <w:rPr>
          <w:rFonts w:ascii="HERVALIT" w:hAnsi="HERVALIT"/>
        </w:rPr>
        <w:t>bien</w:t>
      </w:r>
      <w:r w:rsidR="00430615">
        <w:rPr>
          <w:rFonts w:ascii="HERVALIT" w:hAnsi="HERVALIT"/>
        </w:rPr>
        <w:t>,</w:t>
      </w:r>
      <w:r w:rsidRPr="0024233A">
        <w:rPr>
          <w:rFonts w:ascii="HERVALIT" w:hAnsi="HERVALIT"/>
        </w:rPr>
        <w:t xml:space="preserve"> no forman parte del costo del mismo. Por otra parte, las bonificaciones (descuentos) por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pronto pago son consideradas al determinar el costo de estos.</w:t>
      </w:r>
    </w:p>
    <w:p w14:paraId="7606D2BB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41E92BA7" w14:textId="77777777" w:rsidR="0024233A" w:rsidRPr="0001373C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01373C">
        <w:rPr>
          <w:rFonts w:ascii="HERVALIT" w:hAnsi="HERVALIT"/>
          <w:b/>
          <w:bCs/>
        </w:rPr>
        <w:t>Bienes de uso y depreciación</w:t>
      </w:r>
    </w:p>
    <w:p w14:paraId="70033A53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69D2B463" w14:textId="1B9BF02A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Las inversiones en bienes de uso se valúan por su costo de adquisición, de construcción o por un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valor equivalente (costo corriente) cuando se reciben sin contraprestación.</w:t>
      </w:r>
      <w:r w:rsidR="0080131B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El costo de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adquisición incluye el precio neto pagado por los bienes, más todos los gastos necesarios para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colocar el bien en lugar y condiciones de uso. Los costos de construcción incluyen los directos e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indirectos, así como los de administración de la obra, incurridos y devengados durante el período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efectivo de la construcción.</w:t>
      </w:r>
    </w:p>
    <w:p w14:paraId="1253CC5E" w14:textId="77777777" w:rsidR="00D8481D" w:rsidRPr="0024233A" w:rsidRDefault="00D8481D" w:rsidP="002F4AEF">
      <w:pPr>
        <w:pStyle w:val="Sinespaciado"/>
        <w:jc w:val="both"/>
        <w:rPr>
          <w:rFonts w:ascii="HERVALIT" w:hAnsi="HERVALIT"/>
        </w:rPr>
      </w:pPr>
    </w:p>
    <w:p w14:paraId="7ECB2373" w14:textId="75192DA8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costos de mejoras, reparaciones mayores y rehabilitaciones que extienden la vida útil de los</w:t>
      </w:r>
      <w:r w:rsidR="0001373C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bienes de uso, se capitalizan en forma conjunta con el bien existente o por separado cuando ello</w:t>
      </w:r>
      <w:r w:rsidR="0001373C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sea aconsejable, de acuerdo a la naturaleza de la operación realizada y del bien de que se trate.</w:t>
      </w:r>
    </w:p>
    <w:p w14:paraId="5206F914" w14:textId="77777777" w:rsidR="0080131B" w:rsidRPr="0024233A" w:rsidRDefault="0080131B" w:rsidP="002F4AEF">
      <w:pPr>
        <w:pStyle w:val="Sinespaciado"/>
        <w:jc w:val="both"/>
        <w:rPr>
          <w:rFonts w:ascii="HERVALIT" w:hAnsi="HERVALIT"/>
        </w:rPr>
      </w:pPr>
    </w:p>
    <w:p w14:paraId="2E332431" w14:textId="11F6918A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bienes recibidos en donación son contabilizados a valor corriente, representado por el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importe de efectivo y otras partidas equivalentes que deberían pagarse para adquirirlos en las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condiciones en que se encuentren.</w:t>
      </w:r>
    </w:p>
    <w:p w14:paraId="7C578012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37F00A53" w14:textId="0E9A49F1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lastRenderedPageBreak/>
        <w:t>Los bienes inmuebles son contabilizados de acuerdo a la última valuación fiscal conocida, y de no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resultar factible su obtención, se recurrirá a su tasación. Los bienes adquiridos en monedas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extranjeras se registran al tipo de cambio vigente a la fecha de la adquisición.</w:t>
      </w:r>
    </w:p>
    <w:p w14:paraId="346E1092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73B16EA4" w14:textId="363230CF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El método de cálculo para el registro de la depreciación es el de línea recta, adoptado como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método general aplicable a todo el sector público, a los fines de su</w:t>
      </w:r>
      <w:r w:rsidR="00564BD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consolidación. El uso de este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método representa la distribución sistemática y racional del costo total de cada partida del activo</w:t>
      </w:r>
      <w:r w:rsidR="0039119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fijo tangible, durante el período de su aprovechamiento económico, el mismo será aplicado a</w:t>
      </w:r>
      <w:r w:rsidR="008A34A9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todos los bienes de uso de dominio público, con excepción de los terrenos.</w:t>
      </w:r>
    </w:p>
    <w:p w14:paraId="39505A1C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78EE7BB1" w14:textId="77777777" w:rsidR="0024233A" w:rsidRPr="0001373C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01373C">
        <w:rPr>
          <w:rFonts w:ascii="HERVALIT" w:hAnsi="HERVALIT"/>
          <w:b/>
          <w:bCs/>
        </w:rPr>
        <w:t>Bienes intangibles</w:t>
      </w:r>
    </w:p>
    <w:p w14:paraId="70950A80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3A6AD237" w14:textId="0C1529FF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Estas partidas de los activos no corrientes se registran por su valor de adquisición o su valor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corriente cuando no existe contraprestación. También, se aplica el mismo método de línea recta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para la amortización de esta categoría de bienes.</w:t>
      </w:r>
    </w:p>
    <w:p w14:paraId="0FC3E1DF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2F0F55AF" w14:textId="77777777" w:rsidR="0024233A" w:rsidRPr="0001373C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01373C">
        <w:rPr>
          <w:rFonts w:ascii="HERVALIT" w:hAnsi="HERVALIT"/>
          <w:b/>
          <w:bCs/>
        </w:rPr>
        <w:t>Deudas</w:t>
      </w:r>
    </w:p>
    <w:p w14:paraId="31DB0976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5DB93F4F" w14:textId="6BA2E581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pasivos por concepto de deudas se contabilizan por el valor de los bienes adquiridos mediante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compra, construcción y los servicios recibidos, deduciendo los descuentos comerciales obtenidos,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si aplican.</w:t>
      </w:r>
    </w:p>
    <w:p w14:paraId="4BB888ED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6B3F2432" w14:textId="3E4E949E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pasivos asumidos por concepto de préstamos en efectivo por la colocación de títulos de deuda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pública y por contratos de préstamos con organismos internacionales, bilaterales y multilaterales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 crédito,</w:t>
      </w:r>
      <w:r w:rsidR="00564BD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son registrados por el importe del valor nominal de los títulos colocados y por los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tramos efectivamente desembolsados de los contratos de préstamos suscritos.</w:t>
      </w:r>
    </w:p>
    <w:p w14:paraId="725AA14F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3C25D51C" w14:textId="2ED5D50B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pasivos en moneda extranjera se valúan de acuerdo a la cotización de la moneda de que se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trate, al tipo de cambio comprador a la fecha del ingreso de los fondos. Al cierre del ejercicio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contable los montos no pagados o pendientes de pago se ajustan a la cotización de la moneda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vigente a esa fecha.</w:t>
      </w:r>
    </w:p>
    <w:p w14:paraId="6A3590A4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126D79AD" w14:textId="77777777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Pasivos diferidos</w:t>
      </w:r>
    </w:p>
    <w:p w14:paraId="6A072C94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5A54A6ED" w14:textId="211215B9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pasivos diferidos están valuados al valor nominal de los anticipos recibidos por obligaciones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que deberán cumplirse en ejercicios siguientes.</w:t>
      </w:r>
    </w:p>
    <w:p w14:paraId="6B16F84C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7C94B081" w14:textId="77777777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Deterioro de cuentas por cobrar</w:t>
      </w:r>
    </w:p>
    <w:p w14:paraId="237BD0A7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60540D94" w14:textId="3EAB98AB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El deterioro de las cuentas por cobrar se fundamenta en evidencias que indican que no se podrá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recuperar totalmente como consecuencia de uno o más eventos que se producen después del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reconocimiento inicial del activo.</w:t>
      </w:r>
    </w:p>
    <w:p w14:paraId="55F9FE38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1399C3AE" w14:textId="77777777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Patrimonio</w:t>
      </w:r>
    </w:p>
    <w:p w14:paraId="30826612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0BBE1BCF" w14:textId="20AD271D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La partida de patrimonio está conformada por el rubro del patrimonio público dominicano,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derivada de la diferencia entre el total del activo y del pasivo de la en</w:t>
      </w:r>
      <w:r w:rsidR="00564BD2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más el ahorro o desahorro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 xml:space="preserve">acumulado </w:t>
      </w:r>
      <w:r w:rsidRPr="0024233A">
        <w:rPr>
          <w:rFonts w:ascii="HERVALIT" w:hAnsi="HERVALIT"/>
        </w:rPr>
        <w:lastRenderedPageBreak/>
        <w:t>proveniente de los anteriores ejercicios fiscales, así como las donaciones y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contribuciones de capital internas y externas recibidas. El patrimonio institucional proveniente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 las instituciones descentralizadas y autónomas, de la seguridad social y el capital público, el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cual consiste en el registro de carácter transitorio que refleja los movimientos positivos respecto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a la construcción de bienes de dominio público (Administración Central, organismos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descentralizados, instituciones de la seguridad social, empresas públicas, entidades financieras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públicas y las municipalidades) que conforman el denominado patrimonio público.  Las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transferencias de capital recibidas en efectivo, procedentes del sector privado y del sector público,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 registran y exponen a su valor nominal y en los casos de transferencias de bienes, por su valor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 mercado.</w:t>
      </w:r>
    </w:p>
    <w:p w14:paraId="7DEAA86F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02EBB22D" w14:textId="43140B28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Las donaciones de capital recibidas en efectivo, procedentes de gobiernos extranjeros,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organismos internacionales y del sector privado externo, recibidas en moneda extranjera, se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registran al tipo de cambio vigente a la fecha del ingreso de los fondos.</w:t>
      </w:r>
    </w:p>
    <w:p w14:paraId="403C1593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47C607B4" w14:textId="4D63F38D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resultados de la cuenta corriente expresan las diferencias entre los ingresos y los egresos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obtenidos a través de la gestión fiscal de la entidad económica para el ejercicio contable del que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se trate.</w:t>
      </w:r>
    </w:p>
    <w:p w14:paraId="3E7A54C0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13224D60" w14:textId="77777777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Reconocimiento de ingresos y gastos</w:t>
      </w:r>
    </w:p>
    <w:p w14:paraId="00DAACA7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4573A884" w14:textId="1608399D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Como política general se establece que los ingresos se registren por el método de lo devengado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para lo cual se elaboró la norma que contiene el momento del registro del ingreso. A</w:t>
      </w:r>
      <w:r w:rsidR="009C3981">
        <w:rPr>
          <w:rFonts w:ascii="HERVALIT" w:hAnsi="HERVALIT"/>
        </w:rPr>
        <w:t>ú</w:t>
      </w:r>
      <w:r w:rsidRPr="0024233A">
        <w:rPr>
          <w:rFonts w:ascii="HERVALIT" w:hAnsi="HERVALIT"/>
        </w:rPr>
        <w:t>n cuando en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la práctica éstos se registran por el método de lo percibido hasta que se produzcan las condiciones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que permitan su implementación, los gastos se reconocen como devengado tal como establece la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norma del momento de registro del gasto.</w:t>
      </w:r>
    </w:p>
    <w:p w14:paraId="44406C71" w14:textId="77777777" w:rsidR="00EB1D41" w:rsidRDefault="00EB1D41" w:rsidP="002F4AEF">
      <w:pPr>
        <w:pStyle w:val="Sinespaciado"/>
        <w:jc w:val="both"/>
        <w:rPr>
          <w:rFonts w:ascii="HERVALIT" w:hAnsi="HERVALIT"/>
        </w:rPr>
      </w:pPr>
    </w:p>
    <w:p w14:paraId="13D377C1" w14:textId="77777777" w:rsidR="00EB1D41" w:rsidRPr="000F30D4" w:rsidRDefault="00EB1D41" w:rsidP="00EB1D41">
      <w:pPr>
        <w:pStyle w:val="Sinespaciado"/>
        <w:jc w:val="both"/>
        <w:rPr>
          <w:rFonts w:ascii="HERVALIT" w:hAnsi="HERVALIT"/>
        </w:rPr>
      </w:pPr>
      <w:r w:rsidRPr="000F30D4">
        <w:rPr>
          <w:rFonts w:ascii="HERVALIT" w:hAnsi="HERVALIT"/>
        </w:rPr>
        <w:t xml:space="preserve">Entre las actividades económicas que originan el ingreso se encuentran: las ventas condicionales, alquileres o arrendamientos, ventas de parcela, apartamento y terrenos, </w:t>
      </w:r>
      <w:r w:rsidRPr="002F25E0">
        <w:rPr>
          <w:rFonts w:ascii="HERVALIT" w:hAnsi="HERVALIT"/>
        </w:rPr>
        <w:t>MIVHED</w:t>
      </w:r>
      <w:r w:rsidRPr="000F30D4">
        <w:rPr>
          <w:rFonts w:ascii="HERVALIT" w:hAnsi="HERVALIT"/>
        </w:rPr>
        <w:t xml:space="preserve"> 10% al momento del cobro </w:t>
      </w:r>
      <w:r>
        <w:rPr>
          <w:rFonts w:ascii="HERVALIT" w:hAnsi="HERVALIT"/>
        </w:rPr>
        <w:t>más</w:t>
      </w:r>
      <w:r w:rsidRPr="000F30D4">
        <w:rPr>
          <w:rFonts w:ascii="HERVALIT" w:hAnsi="HERVALIT"/>
        </w:rPr>
        <w:t xml:space="preserve"> un 5% del cobro general anual, solicitud de terreno, certificaciones, arca de Noé, Certificación de Inscripción a subasta</w:t>
      </w:r>
      <w:r>
        <w:rPr>
          <w:rFonts w:ascii="HERVALIT" w:hAnsi="HERVALIT"/>
        </w:rPr>
        <w:t>,</w:t>
      </w:r>
      <w:r w:rsidRPr="000F30D4">
        <w:rPr>
          <w:rFonts w:ascii="HERVALIT" w:hAnsi="HERVALIT"/>
        </w:rPr>
        <w:t xml:space="preserve"> otros ingresos.</w:t>
      </w:r>
    </w:p>
    <w:p w14:paraId="308AE317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12D94A5E" w14:textId="5B36C8AA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Ganancias y pérdidas en cambio y saldos en moneda extranjera</w:t>
      </w:r>
    </w:p>
    <w:p w14:paraId="7051EB26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737FBBD7" w14:textId="3A4E9CC1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Los activos y pasivos en moneda extranjera se registran al tipo de cambio en la fecha en que se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realizan las transacciones y se expresan en pesos dominicanos al cierre del período contable,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utilizando la tasa oficial del Banco Central de la República Dominicana.</w:t>
      </w:r>
    </w:p>
    <w:p w14:paraId="63AE157A" w14:textId="77777777" w:rsidR="00564BD2" w:rsidRPr="0024233A" w:rsidRDefault="00564BD2" w:rsidP="002F4AEF">
      <w:pPr>
        <w:pStyle w:val="Sinespaciado"/>
        <w:jc w:val="both"/>
        <w:rPr>
          <w:rFonts w:ascii="HERVALIT" w:hAnsi="HERVALIT"/>
        </w:rPr>
      </w:pPr>
    </w:p>
    <w:p w14:paraId="065611BB" w14:textId="77777777" w:rsidR="0024233A" w:rsidRPr="009C3981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9C3981">
        <w:rPr>
          <w:rFonts w:ascii="HERVALIT" w:hAnsi="HERVALIT"/>
          <w:b/>
          <w:bCs/>
        </w:rPr>
        <w:t>Estado de flujos de efectivo</w:t>
      </w:r>
    </w:p>
    <w:p w14:paraId="0B2BB8CD" w14:textId="77777777" w:rsidR="00A0791B" w:rsidRPr="0024233A" w:rsidRDefault="00A0791B" w:rsidP="002F4AEF">
      <w:pPr>
        <w:pStyle w:val="Sinespaciado"/>
        <w:jc w:val="both"/>
        <w:rPr>
          <w:rFonts w:ascii="HERVALIT" w:hAnsi="HERVALIT"/>
        </w:rPr>
      </w:pPr>
    </w:p>
    <w:p w14:paraId="585B30EF" w14:textId="52CD1A0E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>El Estado de flujos de efectivo para el sector público se presenta mediante el método directo,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debido a que el mismo suministra información que puede ser útil en la estimación de los flujos de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efectivo futuros. asimismo, como parte del estado de flujos de efectivo se muestra la conciliación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entre el resultado de las actividades ordinarias y el flujo neto de las actividades de operación.</w:t>
      </w:r>
    </w:p>
    <w:p w14:paraId="397A2FF3" w14:textId="77777777" w:rsidR="00101142" w:rsidRDefault="00101142" w:rsidP="002F4AEF">
      <w:pPr>
        <w:pStyle w:val="Sinespaciado"/>
        <w:jc w:val="both"/>
        <w:rPr>
          <w:rFonts w:ascii="HERVALIT" w:hAnsi="HERVALIT"/>
        </w:rPr>
      </w:pPr>
    </w:p>
    <w:p w14:paraId="778580DD" w14:textId="77777777" w:rsidR="00A0791B" w:rsidRPr="00101142" w:rsidRDefault="0024233A" w:rsidP="002F4AEF">
      <w:pPr>
        <w:pStyle w:val="Sinespaciado"/>
        <w:jc w:val="both"/>
        <w:rPr>
          <w:rFonts w:ascii="HERVALIT" w:hAnsi="HERVALIT"/>
          <w:b/>
          <w:bCs/>
        </w:rPr>
      </w:pPr>
      <w:r w:rsidRPr="00101142">
        <w:rPr>
          <w:rFonts w:ascii="HERVALIT" w:hAnsi="HERVALIT"/>
          <w:b/>
          <w:bCs/>
        </w:rPr>
        <w:t>Nota 7: Efectivo y equivalentes de efectivo</w:t>
      </w:r>
    </w:p>
    <w:p w14:paraId="71ACBE40" w14:textId="3308E6A8" w:rsidR="0024233A" w:rsidRP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t xml:space="preserve"> </w:t>
      </w:r>
    </w:p>
    <w:p w14:paraId="72FEC693" w14:textId="6103A216" w:rsidR="0024233A" w:rsidRDefault="0024233A" w:rsidP="002F4AEF">
      <w:pPr>
        <w:pStyle w:val="Sinespaciado"/>
        <w:jc w:val="both"/>
        <w:rPr>
          <w:rFonts w:ascii="HERVALIT" w:hAnsi="HERVALIT"/>
        </w:rPr>
      </w:pPr>
      <w:r w:rsidRPr="0024233A">
        <w:rPr>
          <w:rFonts w:ascii="HERVALIT" w:hAnsi="HERVALIT"/>
        </w:rPr>
        <w:lastRenderedPageBreak/>
        <w:t>Al 3</w:t>
      </w:r>
      <w:r w:rsidR="00DA0747">
        <w:rPr>
          <w:rFonts w:ascii="HERVALIT" w:hAnsi="HERVALIT"/>
        </w:rPr>
        <w:t>0</w:t>
      </w:r>
      <w:r w:rsidRPr="0024233A">
        <w:rPr>
          <w:rFonts w:ascii="HERVALIT" w:hAnsi="HERVALIT"/>
        </w:rPr>
        <w:t xml:space="preserve"> de </w:t>
      </w:r>
      <w:r w:rsidR="00DA0747">
        <w:rPr>
          <w:rFonts w:ascii="HERVALIT" w:hAnsi="HERVALIT"/>
        </w:rPr>
        <w:t xml:space="preserve">junio y al 31 de </w:t>
      </w:r>
      <w:r w:rsidRPr="0024233A">
        <w:rPr>
          <w:rFonts w:ascii="HERVALIT" w:hAnsi="HERVALIT"/>
        </w:rPr>
        <w:t>diciembre de los períodos fiscales 202</w:t>
      </w:r>
      <w:r w:rsidR="00DA0747">
        <w:rPr>
          <w:rFonts w:ascii="HERVALIT" w:hAnsi="HERVALIT"/>
        </w:rPr>
        <w:t>6</w:t>
      </w:r>
      <w:r w:rsidRPr="0024233A">
        <w:rPr>
          <w:rFonts w:ascii="HERVALIT" w:hAnsi="HERVALIT"/>
        </w:rPr>
        <w:t xml:space="preserve"> y 202</w:t>
      </w:r>
      <w:r w:rsidR="00DA0747">
        <w:rPr>
          <w:rFonts w:ascii="HERVALIT" w:hAnsi="HERVALIT"/>
        </w:rPr>
        <w:t>5</w:t>
      </w:r>
      <w:r w:rsidRPr="0024233A">
        <w:rPr>
          <w:rFonts w:ascii="HERVALIT" w:hAnsi="HERVALIT"/>
        </w:rPr>
        <w:t>, el efectivo y equivalentes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de efectivo de</w:t>
      </w:r>
      <w:r w:rsidR="0080183F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l</w:t>
      </w:r>
      <w:r w:rsidR="0080183F">
        <w:rPr>
          <w:rFonts w:ascii="HERVALIT" w:hAnsi="HERVALIT"/>
        </w:rPr>
        <w:t>a</w:t>
      </w:r>
      <w:r w:rsidR="00812891">
        <w:rPr>
          <w:rFonts w:ascii="HERVALIT" w:hAnsi="HERVALIT"/>
        </w:rPr>
        <w:t xml:space="preserve"> </w:t>
      </w:r>
      <w:r w:rsidR="0080183F">
        <w:rPr>
          <w:rFonts w:ascii="HERVALIT" w:hAnsi="HERVALIT"/>
        </w:rPr>
        <w:t>Dirección General de Bienes Nacionales</w:t>
      </w:r>
      <w:r w:rsidRPr="0024233A">
        <w:rPr>
          <w:rFonts w:ascii="HERVALIT" w:hAnsi="HERVALIT"/>
        </w:rPr>
        <w:t xml:space="preserve"> presenta balances de RD$</w:t>
      </w:r>
      <w:r w:rsidR="0080183F">
        <w:rPr>
          <w:rFonts w:ascii="HERVALIT" w:hAnsi="HERVALIT"/>
        </w:rPr>
        <w:t>89,133,017.15</w:t>
      </w:r>
      <w:r w:rsidRPr="0024233A">
        <w:rPr>
          <w:rFonts w:ascii="HERVALIT" w:hAnsi="HERVALIT"/>
        </w:rPr>
        <w:t xml:space="preserve"> y</w:t>
      </w:r>
      <w:r w:rsidR="009C398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RD$</w:t>
      </w:r>
      <w:r w:rsidR="0080183F">
        <w:rPr>
          <w:rFonts w:ascii="HERVALIT" w:hAnsi="HERVALIT"/>
        </w:rPr>
        <w:t>25,067,839.36</w:t>
      </w:r>
      <w:r w:rsidRPr="0024233A">
        <w:rPr>
          <w:rFonts w:ascii="HERVALIT" w:hAnsi="HERVALIT"/>
        </w:rPr>
        <w:t>,</w:t>
      </w:r>
      <w:r w:rsidR="00812891">
        <w:rPr>
          <w:rFonts w:ascii="HERVALIT" w:hAnsi="HERVALIT"/>
        </w:rPr>
        <w:t xml:space="preserve"> </w:t>
      </w:r>
      <w:r w:rsidRPr="0024233A">
        <w:rPr>
          <w:rFonts w:ascii="HERVALIT" w:hAnsi="HERVALIT"/>
        </w:rPr>
        <w:t>respectivamente, los mismos se muestran como sigue:</w:t>
      </w:r>
    </w:p>
    <w:p w14:paraId="67215FF6" w14:textId="77777777" w:rsidR="0080183F" w:rsidRDefault="0080183F" w:rsidP="002F4AEF">
      <w:pPr>
        <w:pStyle w:val="Sinespaciado"/>
        <w:jc w:val="both"/>
        <w:rPr>
          <w:rFonts w:ascii="HERVALIT" w:hAnsi="HERVALIT"/>
        </w:rPr>
      </w:pPr>
    </w:p>
    <w:p w14:paraId="5B9EE9AC" w14:textId="5EB5CD72" w:rsidR="0080183F" w:rsidRDefault="0080183F" w:rsidP="002F4AEF">
      <w:pPr>
        <w:pStyle w:val="Sinespaciado"/>
        <w:jc w:val="both"/>
        <w:rPr>
          <w:rFonts w:ascii="HERVALIT" w:hAnsi="HERVALIT"/>
        </w:rPr>
      </w:pPr>
      <w:r w:rsidRPr="0080183F">
        <w:rPr>
          <w:noProof/>
          <w:lang w:eastAsia="es-DO"/>
        </w:rPr>
        <w:drawing>
          <wp:inline distT="0" distB="0" distL="0" distR="0" wp14:anchorId="55B6609C" wp14:editId="6D34D8AB">
            <wp:extent cx="5731510" cy="1383030"/>
            <wp:effectExtent l="0" t="0" r="2540" b="7620"/>
            <wp:docPr id="198879143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83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B3028" w14:textId="77777777" w:rsidR="00A0791B" w:rsidRPr="0024233A" w:rsidRDefault="00A0791B" w:rsidP="002F4AEF">
      <w:pPr>
        <w:pStyle w:val="Sinespaciado"/>
        <w:jc w:val="both"/>
        <w:rPr>
          <w:rFonts w:ascii="HERVALIT" w:hAnsi="HERVALIT"/>
        </w:rPr>
      </w:pPr>
    </w:p>
    <w:p w14:paraId="74B849FA" w14:textId="0656CF93" w:rsidR="00370842" w:rsidRPr="00B90CF2" w:rsidRDefault="00DC6433" w:rsidP="002F4AEF">
      <w:pPr>
        <w:pStyle w:val="Sinespaciado"/>
        <w:jc w:val="both"/>
        <w:rPr>
          <w:rFonts w:ascii="HERVALIT" w:hAnsi="HERVALIT"/>
          <w:b/>
          <w:bCs/>
        </w:rPr>
      </w:pPr>
      <w:r w:rsidRPr="00B90CF2">
        <w:rPr>
          <w:rFonts w:ascii="HERVALIT" w:hAnsi="HERVALIT"/>
          <w:b/>
          <w:bCs/>
        </w:rPr>
        <w:t xml:space="preserve">Nota </w:t>
      </w:r>
      <w:r w:rsidR="00B90CF2">
        <w:rPr>
          <w:rFonts w:ascii="HERVALIT" w:hAnsi="HERVALIT"/>
          <w:b/>
          <w:bCs/>
        </w:rPr>
        <w:t>8</w:t>
      </w:r>
      <w:r w:rsidRPr="00B90CF2">
        <w:rPr>
          <w:rFonts w:ascii="HERVALIT" w:hAnsi="HERVALIT"/>
          <w:b/>
          <w:bCs/>
        </w:rPr>
        <w:t>: Cuenta por cobrar</w:t>
      </w:r>
    </w:p>
    <w:p w14:paraId="474CC78E" w14:textId="5577EC7D" w:rsidR="00DC6433" w:rsidRPr="00DC6433" w:rsidRDefault="00DC6433" w:rsidP="002F4AEF">
      <w:pPr>
        <w:pStyle w:val="Sinespaciado"/>
        <w:jc w:val="both"/>
        <w:rPr>
          <w:rFonts w:ascii="HERVALIT" w:hAnsi="HERVALIT"/>
        </w:rPr>
      </w:pPr>
      <w:r w:rsidRPr="00DC6433">
        <w:rPr>
          <w:rFonts w:ascii="HERVALIT" w:hAnsi="HERVALIT"/>
        </w:rPr>
        <w:t xml:space="preserve"> </w:t>
      </w:r>
    </w:p>
    <w:p w14:paraId="2D23262C" w14:textId="5CB4D691" w:rsidR="00DC6433" w:rsidRDefault="00DC6433" w:rsidP="002F4AEF">
      <w:pPr>
        <w:pStyle w:val="Sinespaciado"/>
        <w:jc w:val="both"/>
        <w:rPr>
          <w:rFonts w:ascii="HERVALIT" w:hAnsi="HERVALIT"/>
        </w:rPr>
      </w:pPr>
      <w:r w:rsidRPr="00DC6433">
        <w:rPr>
          <w:rFonts w:ascii="HERVALIT" w:hAnsi="HERVALIT"/>
        </w:rPr>
        <w:t xml:space="preserve">Al </w:t>
      </w:r>
      <w:r w:rsidR="00EF3EDA" w:rsidRPr="0024233A">
        <w:rPr>
          <w:rFonts w:ascii="HERVALIT" w:hAnsi="HERVALIT"/>
        </w:rPr>
        <w:t>3</w:t>
      </w:r>
      <w:r w:rsidR="00EF3EDA">
        <w:rPr>
          <w:rFonts w:ascii="HERVALIT" w:hAnsi="HERVALIT"/>
        </w:rPr>
        <w:t>0</w:t>
      </w:r>
      <w:r w:rsidR="00EF3EDA" w:rsidRPr="0024233A">
        <w:rPr>
          <w:rFonts w:ascii="HERVALIT" w:hAnsi="HERVALIT"/>
        </w:rPr>
        <w:t xml:space="preserve"> de </w:t>
      </w:r>
      <w:r w:rsidR="00EF3EDA">
        <w:rPr>
          <w:rFonts w:ascii="HERVALIT" w:hAnsi="HERVALIT"/>
        </w:rPr>
        <w:t xml:space="preserve">junio y al 31 de </w:t>
      </w:r>
      <w:r w:rsidR="00EF3EDA" w:rsidRPr="0024233A">
        <w:rPr>
          <w:rFonts w:ascii="HERVALIT" w:hAnsi="HERVALIT"/>
        </w:rPr>
        <w:t>diciembre de los períodos fiscales 202</w:t>
      </w:r>
      <w:r w:rsidR="00EF3EDA">
        <w:rPr>
          <w:rFonts w:ascii="HERVALIT" w:hAnsi="HERVALIT"/>
        </w:rPr>
        <w:t>6</w:t>
      </w:r>
      <w:r w:rsidR="00EF3EDA" w:rsidRPr="0024233A">
        <w:rPr>
          <w:rFonts w:ascii="HERVALIT" w:hAnsi="HERVALIT"/>
        </w:rPr>
        <w:t xml:space="preserve"> y 202</w:t>
      </w:r>
      <w:r w:rsidR="00EF3EDA">
        <w:rPr>
          <w:rFonts w:ascii="HERVALIT" w:hAnsi="HERVALIT"/>
        </w:rPr>
        <w:t>5</w:t>
      </w:r>
      <w:r w:rsidRPr="00DC6433">
        <w:rPr>
          <w:rFonts w:ascii="HERVALIT" w:hAnsi="HERVALIT"/>
        </w:rPr>
        <w:t>, las cuentas por cobrar a corto plazo presentan un balance de RD$</w:t>
      </w:r>
      <w:r w:rsidR="004473A5">
        <w:rPr>
          <w:rFonts w:ascii="HERVALIT" w:hAnsi="HERVALIT"/>
        </w:rPr>
        <w:t>877,007,871.72</w:t>
      </w:r>
      <w:r w:rsidRPr="00DC6433">
        <w:rPr>
          <w:rFonts w:ascii="HERVALIT" w:hAnsi="HERVALIT"/>
        </w:rPr>
        <w:t xml:space="preserve"> y RD$</w:t>
      </w:r>
      <w:r w:rsidR="004473A5">
        <w:rPr>
          <w:rFonts w:ascii="HERVALIT" w:hAnsi="HERVALIT"/>
        </w:rPr>
        <w:t>881,442,298.65</w:t>
      </w:r>
      <w:r w:rsidRPr="00DC6433">
        <w:rPr>
          <w:rFonts w:ascii="HERVALIT" w:hAnsi="HERVALIT"/>
        </w:rPr>
        <w:t>, respectivamente, según detalle:</w:t>
      </w:r>
    </w:p>
    <w:p w14:paraId="0C2849F3" w14:textId="77777777" w:rsidR="0080183F" w:rsidRDefault="0080183F" w:rsidP="002F4AEF">
      <w:pPr>
        <w:pStyle w:val="Sinespaciado"/>
        <w:jc w:val="both"/>
        <w:rPr>
          <w:rFonts w:ascii="HERVALIT" w:hAnsi="HERVALIT"/>
        </w:rPr>
      </w:pPr>
    </w:p>
    <w:p w14:paraId="53049917" w14:textId="6348279A" w:rsidR="00B90CF2" w:rsidRDefault="00B90CF2" w:rsidP="002F4AEF">
      <w:pPr>
        <w:pStyle w:val="Sinespaciado"/>
        <w:jc w:val="both"/>
        <w:rPr>
          <w:rFonts w:ascii="HERVALIT" w:hAnsi="HERVALIT"/>
        </w:rPr>
      </w:pPr>
      <w:r w:rsidRPr="00B90CF2">
        <w:rPr>
          <w:noProof/>
          <w:lang w:eastAsia="es-DO"/>
        </w:rPr>
        <w:drawing>
          <wp:inline distT="0" distB="0" distL="0" distR="0" wp14:anchorId="50658BB1" wp14:editId="07DBBAB3">
            <wp:extent cx="5731510" cy="1054100"/>
            <wp:effectExtent l="0" t="0" r="2540" b="0"/>
            <wp:docPr id="68572968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5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194E0D" w14:textId="77777777" w:rsidR="00370842" w:rsidRPr="00DC6433" w:rsidRDefault="00370842" w:rsidP="002F4AEF">
      <w:pPr>
        <w:pStyle w:val="Sinespaciado"/>
        <w:jc w:val="both"/>
        <w:rPr>
          <w:rFonts w:ascii="HERVALIT" w:hAnsi="HERVALIT"/>
        </w:rPr>
      </w:pPr>
    </w:p>
    <w:p w14:paraId="411A6CC2" w14:textId="2E9A8FD1" w:rsidR="00C21BCE" w:rsidRPr="00024810" w:rsidRDefault="00C21BCE" w:rsidP="002F4AEF">
      <w:pPr>
        <w:pStyle w:val="Sinespaciado"/>
        <w:jc w:val="both"/>
        <w:rPr>
          <w:rFonts w:ascii="HERVALIT" w:hAnsi="HERVALIT"/>
          <w:b/>
          <w:bCs/>
        </w:rPr>
      </w:pPr>
      <w:r w:rsidRPr="00024810">
        <w:rPr>
          <w:rFonts w:ascii="HERVALIT" w:hAnsi="HERVALIT"/>
          <w:b/>
          <w:bCs/>
        </w:rPr>
        <w:t xml:space="preserve">Nota </w:t>
      </w:r>
      <w:r w:rsidR="00024810" w:rsidRPr="00024810">
        <w:rPr>
          <w:rFonts w:ascii="HERVALIT" w:hAnsi="HERVALIT"/>
          <w:b/>
          <w:bCs/>
        </w:rPr>
        <w:t>9</w:t>
      </w:r>
      <w:r w:rsidRPr="00024810">
        <w:rPr>
          <w:rFonts w:ascii="HERVALIT" w:hAnsi="HERVALIT"/>
          <w:b/>
          <w:bCs/>
        </w:rPr>
        <w:t>:  Inventarios</w:t>
      </w:r>
    </w:p>
    <w:p w14:paraId="6864BF36" w14:textId="77777777" w:rsidR="005D069B" w:rsidRPr="00C21BCE" w:rsidRDefault="005D069B" w:rsidP="002F4AEF">
      <w:pPr>
        <w:pStyle w:val="Sinespaciado"/>
        <w:jc w:val="both"/>
        <w:rPr>
          <w:rFonts w:ascii="HERVALIT" w:hAnsi="HERVALIT"/>
        </w:rPr>
      </w:pPr>
    </w:p>
    <w:p w14:paraId="7EBA8F3D" w14:textId="125F49FD" w:rsidR="007F386B" w:rsidRDefault="00C21BCE" w:rsidP="002F4AEF">
      <w:pPr>
        <w:pStyle w:val="Sinespaciado"/>
        <w:jc w:val="both"/>
        <w:rPr>
          <w:rFonts w:ascii="HERVALIT" w:hAnsi="HERVALIT"/>
        </w:rPr>
      </w:pPr>
      <w:r w:rsidRPr="00C21BCE">
        <w:rPr>
          <w:rFonts w:ascii="HERVALIT" w:hAnsi="HERVALIT"/>
        </w:rPr>
        <w:t xml:space="preserve">Al </w:t>
      </w:r>
      <w:r w:rsidR="00EF3EDA" w:rsidRPr="0024233A">
        <w:rPr>
          <w:rFonts w:ascii="HERVALIT" w:hAnsi="HERVALIT"/>
        </w:rPr>
        <w:t>3</w:t>
      </w:r>
      <w:r w:rsidR="00EF3EDA">
        <w:rPr>
          <w:rFonts w:ascii="HERVALIT" w:hAnsi="HERVALIT"/>
        </w:rPr>
        <w:t>0</w:t>
      </w:r>
      <w:r w:rsidR="00EF3EDA" w:rsidRPr="0024233A">
        <w:rPr>
          <w:rFonts w:ascii="HERVALIT" w:hAnsi="HERVALIT"/>
        </w:rPr>
        <w:t xml:space="preserve"> de </w:t>
      </w:r>
      <w:r w:rsidR="00EF3EDA">
        <w:rPr>
          <w:rFonts w:ascii="HERVALIT" w:hAnsi="HERVALIT"/>
        </w:rPr>
        <w:t xml:space="preserve">junio y al 31 de </w:t>
      </w:r>
      <w:r w:rsidR="00EF3EDA" w:rsidRPr="0024233A">
        <w:rPr>
          <w:rFonts w:ascii="HERVALIT" w:hAnsi="HERVALIT"/>
        </w:rPr>
        <w:t>diciembre de los períodos fiscales 202</w:t>
      </w:r>
      <w:r w:rsidR="00EF3EDA">
        <w:rPr>
          <w:rFonts w:ascii="HERVALIT" w:hAnsi="HERVALIT"/>
        </w:rPr>
        <w:t>6</w:t>
      </w:r>
      <w:r w:rsidR="00EF3EDA" w:rsidRPr="0024233A">
        <w:rPr>
          <w:rFonts w:ascii="HERVALIT" w:hAnsi="HERVALIT"/>
        </w:rPr>
        <w:t xml:space="preserve"> y 202</w:t>
      </w:r>
      <w:r w:rsidR="00EF3EDA">
        <w:rPr>
          <w:rFonts w:ascii="HERVALIT" w:hAnsi="HERVALIT"/>
        </w:rPr>
        <w:t>5</w:t>
      </w:r>
      <w:r w:rsidRPr="00C21BCE">
        <w:rPr>
          <w:rFonts w:ascii="HERVALIT" w:hAnsi="HERVALIT"/>
        </w:rPr>
        <w:t>, las cuentas de inventarios,</w:t>
      </w:r>
      <w:r w:rsidR="00024810">
        <w:rPr>
          <w:rFonts w:ascii="HERVALIT" w:hAnsi="HERVALIT"/>
        </w:rPr>
        <w:t xml:space="preserve"> </w:t>
      </w:r>
      <w:r w:rsidRPr="00C21BCE">
        <w:rPr>
          <w:rFonts w:ascii="HERVALIT" w:hAnsi="HERVALIT"/>
        </w:rPr>
        <w:t>presentan balances de RD$</w:t>
      </w:r>
      <w:r w:rsidR="00024810">
        <w:rPr>
          <w:rFonts w:ascii="HERVALIT" w:hAnsi="HERVALIT"/>
        </w:rPr>
        <w:t>8,467,919.80</w:t>
      </w:r>
      <w:r w:rsidRPr="00C21BCE">
        <w:rPr>
          <w:rFonts w:ascii="HERVALIT" w:hAnsi="HERVALIT"/>
        </w:rPr>
        <w:t xml:space="preserve"> y RD$</w:t>
      </w:r>
      <w:r w:rsidR="00024810">
        <w:rPr>
          <w:rFonts w:ascii="HERVALIT" w:hAnsi="HERVALIT"/>
        </w:rPr>
        <w:t>7,588,898.97</w:t>
      </w:r>
      <w:r w:rsidRPr="00C21BCE">
        <w:rPr>
          <w:rFonts w:ascii="HERVALIT" w:hAnsi="HERVALIT"/>
        </w:rPr>
        <w:t>, respectivamente, según</w:t>
      </w:r>
      <w:r w:rsidR="00024810">
        <w:rPr>
          <w:rFonts w:ascii="HERVALIT" w:hAnsi="HERVALIT"/>
        </w:rPr>
        <w:t xml:space="preserve"> </w:t>
      </w:r>
      <w:r w:rsidRPr="00C21BCE">
        <w:rPr>
          <w:rFonts w:ascii="HERVALIT" w:hAnsi="HERVALIT"/>
        </w:rPr>
        <w:t>detalle:</w:t>
      </w:r>
    </w:p>
    <w:p w14:paraId="6CE9B259" w14:textId="77777777" w:rsidR="00024810" w:rsidRDefault="00024810" w:rsidP="002F4AEF">
      <w:pPr>
        <w:pStyle w:val="Sinespaciado"/>
        <w:jc w:val="both"/>
        <w:rPr>
          <w:rFonts w:ascii="HERVALIT" w:hAnsi="HERVALIT"/>
        </w:rPr>
      </w:pPr>
    </w:p>
    <w:p w14:paraId="4EF684FE" w14:textId="30C079F4" w:rsidR="004473A5" w:rsidRDefault="00024810" w:rsidP="002F4AEF">
      <w:pPr>
        <w:pStyle w:val="Sinespaciado"/>
        <w:jc w:val="both"/>
        <w:rPr>
          <w:rFonts w:ascii="HERVALIT" w:hAnsi="HERVALIT"/>
        </w:rPr>
      </w:pPr>
      <w:r w:rsidRPr="00024810">
        <w:rPr>
          <w:noProof/>
          <w:lang w:eastAsia="es-DO"/>
        </w:rPr>
        <w:drawing>
          <wp:inline distT="0" distB="0" distL="0" distR="0" wp14:anchorId="5BCBD211" wp14:editId="23D4E4F3">
            <wp:extent cx="5731510" cy="1737360"/>
            <wp:effectExtent l="0" t="0" r="2540" b="0"/>
            <wp:docPr id="2038130473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737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6EB235" w14:textId="77777777" w:rsidR="00C21BCE" w:rsidRDefault="00C21BCE" w:rsidP="002F4AEF">
      <w:pPr>
        <w:pStyle w:val="Sinespaciado"/>
        <w:jc w:val="both"/>
        <w:rPr>
          <w:rFonts w:ascii="HERVALIT" w:hAnsi="HERVALIT"/>
        </w:rPr>
      </w:pPr>
    </w:p>
    <w:p w14:paraId="4B6B74A2" w14:textId="77777777" w:rsidR="00024810" w:rsidRDefault="00024810" w:rsidP="002F4AEF">
      <w:pPr>
        <w:pStyle w:val="Sinespaciado"/>
        <w:jc w:val="both"/>
        <w:rPr>
          <w:rFonts w:ascii="HERVALIT" w:hAnsi="HERVALIT"/>
        </w:rPr>
      </w:pPr>
    </w:p>
    <w:p w14:paraId="189BA909" w14:textId="31D9DF41" w:rsidR="00854712" w:rsidRPr="00024810" w:rsidRDefault="00854712" w:rsidP="002F4AEF">
      <w:pPr>
        <w:pStyle w:val="Sinespaciado"/>
        <w:jc w:val="both"/>
        <w:rPr>
          <w:rFonts w:ascii="HERVALIT" w:hAnsi="HERVALIT"/>
          <w:b/>
          <w:bCs/>
        </w:rPr>
      </w:pPr>
      <w:r w:rsidRPr="00024810">
        <w:rPr>
          <w:rFonts w:ascii="HERVALIT" w:hAnsi="HERVALIT"/>
          <w:b/>
          <w:bCs/>
        </w:rPr>
        <w:t>Nota 1</w:t>
      </w:r>
      <w:r w:rsidR="00CB3F05">
        <w:rPr>
          <w:rFonts w:ascii="HERVALIT" w:hAnsi="HERVALIT"/>
          <w:b/>
          <w:bCs/>
        </w:rPr>
        <w:t>0</w:t>
      </w:r>
      <w:r w:rsidRPr="00024810">
        <w:rPr>
          <w:rFonts w:ascii="HERVALIT" w:hAnsi="HERVALIT"/>
          <w:b/>
          <w:bCs/>
        </w:rPr>
        <w:t xml:space="preserve">: </w:t>
      </w:r>
      <w:r w:rsidR="00FD20B5">
        <w:rPr>
          <w:rFonts w:ascii="HERVALIT" w:hAnsi="HERVALIT"/>
          <w:b/>
          <w:bCs/>
        </w:rPr>
        <w:t xml:space="preserve">Gastos </w:t>
      </w:r>
      <w:r w:rsidRPr="00024810">
        <w:rPr>
          <w:rFonts w:ascii="HERVALIT" w:hAnsi="HERVALIT"/>
          <w:b/>
          <w:bCs/>
        </w:rPr>
        <w:t>Pag</w:t>
      </w:r>
      <w:r w:rsidR="00FD20B5">
        <w:rPr>
          <w:rFonts w:ascii="HERVALIT" w:hAnsi="HERVALIT"/>
          <w:b/>
          <w:bCs/>
        </w:rPr>
        <w:t>ad</w:t>
      </w:r>
      <w:r w:rsidRPr="00024810">
        <w:rPr>
          <w:rFonts w:ascii="HERVALIT" w:hAnsi="HERVALIT"/>
          <w:b/>
          <w:bCs/>
        </w:rPr>
        <w:t>os</w:t>
      </w:r>
      <w:r w:rsidR="00FD20B5">
        <w:rPr>
          <w:rFonts w:ascii="HERVALIT" w:hAnsi="HERVALIT"/>
          <w:b/>
          <w:bCs/>
        </w:rPr>
        <w:t xml:space="preserve"> por</w:t>
      </w:r>
      <w:r w:rsidRPr="00024810">
        <w:rPr>
          <w:rFonts w:ascii="HERVALIT" w:hAnsi="HERVALIT"/>
          <w:b/>
          <w:bCs/>
        </w:rPr>
        <w:t xml:space="preserve"> anticipados</w:t>
      </w:r>
    </w:p>
    <w:p w14:paraId="16B420CD" w14:textId="77777777" w:rsidR="005D069B" w:rsidRPr="00854712" w:rsidRDefault="005D069B" w:rsidP="002F4AEF">
      <w:pPr>
        <w:pStyle w:val="Sinespaciado"/>
        <w:jc w:val="both"/>
        <w:rPr>
          <w:rFonts w:ascii="HERVALIT" w:hAnsi="HERVALIT"/>
        </w:rPr>
      </w:pPr>
    </w:p>
    <w:p w14:paraId="5D4178F1" w14:textId="0D29B7D8" w:rsidR="00854712" w:rsidRDefault="00854712" w:rsidP="002F4AEF">
      <w:pPr>
        <w:pStyle w:val="Sinespaciado"/>
        <w:jc w:val="both"/>
        <w:rPr>
          <w:rFonts w:ascii="HERVALIT" w:hAnsi="HERVALIT"/>
        </w:rPr>
      </w:pPr>
      <w:r w:rsidRPr="00854712">
        <w:rPr>
          <w:rFonts w:ascii="HERVALIT" w:hAnsi="HERVALIT"/>
        </w:rPr>
        <w:t xml:space="preserve">Al </w:t>
      </w:r>
      <w:r w:rsidR="00EF3EDA" w:rsidRPr="0024233A">
        <w:rPr>
          <w:rFonts w:ascii="HERVALIT" w:hAnsi="HERVALIT"/>
        </w:rPr>
        <w:t>3</w:t>
      </w:r>
      <w:r w:rsidR="00EF3EDA">
        <w:rPr>
          <w:rFonts w:ascii="HERVALIT" w:hAnsi="HERVALIT"/>
        </w:rPr>
        <w:t>0</w:t>
      </w:r>
      <w:r w:rsidR="00EF3EDA" w:rsidRPr="0024233A">
        <w:rPr>
          <w:rFonts w:ascii="HERVALIT" w:hAnsi="HERVALIT"/>
        </w:rPr>
        <w:t xml:space="preserve"> de </w:t>
      </w:r>
      <w:r w:rsidR="00EF3EDA">
        <w:rPr>
          <w:rFonts w:ascii="HERVALIT" w:hAnsi="HERVALIT"/>
        </w:rPr>
        <w:t xml:space="preserve">junio y al 31 de </w:t>
      </w:r>
      <w:r w:rsidR="00EF3EDA" w:rsidRPr="0024233A">
        <w:rPr>
          <w:rFonts w:ascii="HERVALIT" w:hAnsi="HERVALIT"/>
        </w:rPr>
        <w:t>diciembre de los períodos fiscales 202</w:t>
      </w:r>
      <w:r w:rsidR="00EF3EDA">
        <w:rPr>
          <w:rFonts w:ascii="HERVALIT" w:hAnsi="HERVALIT"/>
        </w:rPr>
        <w:t>6</w:t>
      </w:r>
      <w:r w:rsidR="00EF3EDA" w:rsidRPr="0024233A">
        <w:rPr>
          <w:rFonts w:ascii="HERVALIT" w:hAnsi="HERVALIT"/>
        </w:rPr>
        <w:t xml:space="preserve"> y 202</w:t>
      </w:r>
      <w:r w:rsidR="00EF3EDA">
        <w:rPr>
          <w:rFonts w:ascii="HERVALIT" w:hAnsi="HERVALIT"/>
        </w:rPr>
        <w:t>5</w:t>
      </w:r>
      <w:r w:rsidRPr="00854712">
        <w:rPr>
          <w:rFonts w:ascii="HERVALIT" w:hAnsi="HERVALIT"/>
        </w:rPr>
        <w:t>, los pagos anticipados presentan balances de RD$</w:t>
      </w:r>
      <w:r w:rsidR="00FD20B5">
        <w:rPr>
          <w:rFonts w:ascii="HERVALIT" w:hAnsi="HERVALIT"/>
        </w:rPr>
        <w:t>1,465,832.61</w:t>
      </w:r>
      <w:r w:rsidRPr="00854712">
        <w:rPr>
          <w:rFonts w:ascii="HERVALIT" w:hAnsi="HERVALIT"/>
        </w:rPr>
        <w:t xml:space="preserve"> y RD$</w:t>
      </w:r>
      <w:r w:rsidR="00FD20B5">
        <w:rPr>
          <w:rFonts w:ascii="HERVALIT" w:hAnsi="HERVALIT"/>
        </w:rPr>
        <w:t>4,403,924.48</w:t>
      </w:r>
      <w:r w:rsidRPr="00854712">
        <w:rPr>
          <w:rFonts w:ascii="HERVALIT" w:hAnsi="HERVALIT"/>
        </w:rPr>
        <w:t>, respectivamente, según detalle:</w:t>
      </w:r>
    </w:p>
    <w:p w14:paraId="383092FE" w14:textId="77777777" w:rsidR="00024810" w:rsidRDefault="00024810" w:rsidP="002F4AEF">
      <w:pPr>
        <w:pStyle w:val="Sinespaciado"/>
        <w:jc w:val="both"/>
        <w:rPr>
          <w:rFonts w:ascii="HERVALIT" w:hAnsi="HERVALIT"/>
        </w:rPr>
      </w:pPr>
    </w:p>
    <w:p w14:paraId="7186C1BC" w14:textId="6D65D7BF" w:rsidR="00024810" w:rsidRDefault="00CB3F05" w:rsidP="002F4AEF">
      <w:pPr>
        <w:pStyle w:val="Sinespaciado"/>
        <w:jc w:val="both"/>
        <w:rPr>
          <w:rFonts w:ascii="HERVALIT" w:hAnsi="HERVALIT"/>
        </w:rPr>
      </w:pPr>
      <w:r w:rsidRPr="00CB3F05">
        <w:rPr>
          <w:noProof/>
          <w:lang w:eastAsia="es-DO"/>
        </w:rPr>
        <w:drawing>
          <wp:inline distT="0" distB="0" distL="0" distR="0" wp14:anchorId="7A20488D" wp14:editId="5112B445">
            <wp:extent cx="5731510" cy="1287145"/>
            <wp:effectExtent l="0" t="0" r="2540" b="8255"/>
            <wp:docPr id="749482181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287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EA1741" w14:textId="77777777" w:rsidR="00420F7A" w:rsidRDefault="00420F7A" w:rsidP="002F4AEF">
      <w:pPr>
        <w:pStyle w:val="Sinespaciado"/>
        <w:jc w:val="both"/>
        <w:rPr>
          <w:rFonts w:ascii="HERVALIT" w:hAnsi="HERVALIT"/>
        </w:rPr>
      </w:pPr>
    </w:p>
    <w:p w14:paraId="3DD93B9B" w14:textId="77777777" w:rsidR="000324A2" w:rsidRPr="004F1AC0" w:rsidRDefault="000324A2" w:rsidP="002F4AEF">
      <w:pPr>
        <w:pStyle w:val="Sinespaciado"/>
        <w:jc w:val="both"/>
        <w:rPr>
          <w:rFonts w:ascii="HERVALIT" w:hAnsi="HERVALIT"/>
        </w:rPr>
      </w:pPr>
    </w:p>
    <w:p w14:paraId="25521F49" w14:textId="46C5A02B" w:rsidR="004F1AC0" w:rsidRPr="000324A2" w:rsidRDefault="004F1AC0" w:rsidP="002F4AEF">
      <w:pPr>
        <w:pStyle w:val="Sinespaciado"/>
        <w:jc w:val="both"/>
        <w:rPr>
          <w:rFonts w:ascii="HERVALIT" w:hAnsi="HERVALIT"/>
          <w:b/>
          <w:bCs/>
        </w:rPr>
      </w:pPr>
      <w:r w:rsidRPr="000324A2">
        <w:rPr>
          <w:rFonts w:ascii="HERVALIT" w:hAnsi="HERVALIT"/>
          <w:b/>
          <w:bCs/>
        </w:rPr>
        <w:t>Nota 1</w:t>
      </w:r>
      <w:r w:rsidR="000324A2">
        <w:rPr>
          <w:rFonts w:ascii="HERVALIT" w:hAnsi="HERVALIT"/>
          <w:b/>
          <w:bCs/>
        </w:rPr>
        <w:t>1</w:t>
      </w:r>
      <w:r w:rsidRPr="000324A2">
        <w:rPr>
          <w:rFonts w:ascii="HERVALIT" w:hAnsi="HERVALIT"/>
          <w:b/>
          <w:bCs/>
        </w:rPr>
        <w:t>: Propiedad, planta y equipo neto</w:t>
      </w:r>
    </w:p>
    <w:p w14:paraId="08D3B57E" w14:textId="77777777" w:rsidR="00420F7A" w:rsidRPr="004F1AC0" w:rsidRDefault="00420F7A" w:rsidP="002F4AEF">
      <w:pPr>
        <w:pStyle w:val="Sinespaciado"/>
        <w:jc w:val="both"/>
        <w:rPr>
          <w:rFonts w:ascii="HERVALIT" w:hAnsi="HERVALIT"/>
        </w:rPr>
      </w:pPr>
    </w:p>
    <w:p w14:paraId="05278D00" w14:textId="7E4A69CC" w:rsidR="004F1AC0" w:rsidRDefault="004F1AC0" w:rsidP="002F4AEF">
      <w:pPr>
        <w:pStyle w:val="Sinespaciado"/>
        <w:jc w:val="both"/>
        <w:rPr>
          <w:rFonts w:ascii="HERVALIT" w:hAnsi="HERVALIT"/>
        </w:rPr>
      </w:pPr>
      <w:r w:rsidRPr="004F1AC0">
        <w:rPr>
          <w:rFonts w:ascii="HERVALIT" w:hAnsi="HERVALIT"/>
        </w:rPr>
        <w:t xml:space="preserve">Al </w:t>
      </w:r>
      <w:r w:rsidR="00F93955" w:rsidRPr="0024233A">
        <w:rPr>
          <w:rFonts w:ascii="HERVALIT" w:hAnsi="HERVALIT"/>
        </w:rPr>
        <w:t>3</w:t>
      </w:r>
      <w:r w:rsidR="00F93955">
        <w:rPr>
          <w:rFonts w:ascii="HERVALIT" w:hAnsi="HERVALIT"/>
        </w:rPr>
        <w:t>0</w:t>
      </w:r>
      <w:r w:rsidR="00F93955" w:rsidRPr="0024233A">
        <w:rPr>
          <w:rFonts w:ascii="HERVALIT" w:hAnsi="HERVALIT"/>
        </w:rPr>
        <w:t xml:space="preserve"> de </w:t>
      </w:r>
      <w:r w:rsidR="00F93955">
        <w:rPr>
          <w:rFonts w:ascii="HERVALIT" w:hAnsi="HERVALIT"/>
        </w:rPr>
        <w:t xml:space="preserve">junio y al 31 de </w:t>
      </w:r>
      <w:r w:rsidR="00F93955" w:rsidRPr="0024233A">
        <w:rPr>
          <w:rFonts w:ascii="HERVALIT" w:hAnsi="HERVALIT"/>
        </w:rPr>
        <w:t>diciembre de los períodos fiscales 202</w:t>
      </w:r>
      <w:r w:rsidR="00F93955">
        <w:rPr>
          <w:rFonts w:ascii="HERVALIT" w:hAnsi="HERVALIT"/>
        </w:rPr>
        <w:t>6</w:t>
      </w:r>
      <w:r w:rsidR="00F93955" w:rsidRPr="0024233A">
        <w:rPr>
          <w:rFonts w:ascii="HERVALIT" w:hAnsi="HERVALIT"/>
        </w:rPr>
        <w:t xml:space="preserve"> y 202</w:t>
      </w:r>
      <w:r w:rsidR="00F93955">
        <w:rPr>
          <w:rFonts w:ascii="HERVALIT" w:hAnsi="HERVALIT"/>
        </w:rPr>
        <w:t>5</w:t>
      </w:r>
      <w:r w:rsidRPr="004F1AC0">
        <w:rPr>
          <w:rFonts w:ascii="HERVALIT" w:hAnsi="HERVALIT"/>
        </w:rPr>
        <w:t>, las cuentas de activos no financieros neto presentan balances en ascendentes a RD$</w:t>
      </w:r>
      <w:r w:rsidR="00E20D58">
        <w:rPr>
          <w:rFonts w:ascii="HERVALIT" w:hAnsi="HERVALIT"/>
        </w:rPr>
        <w:t>61,773,537.43</w:t>
      </w:r>
      <w:r w:rsidRPr="004F1AC0">
        <w:rPr>
          <w:rFonts w:ascii="HERVALIT" w:hAnsi="HERVALIT"/>
        </w:rPr>
        <w:t xml:space="preserve"> y</w:t>
      </w:r>
      <w:r w:rsidR="001917CF">
        <w:rPr>
          <w:rFonts w:ascii="HERVALIT" w:hAnsi="HERVALIT"/>
        </w:rPr>
        <w:t xml:space="preserve"> </w:t>
      </w:r>
      <w:r w:rsidRPr="004F1AC0">
        <w:rPr>
          <w:rFonts w:ascii="HERVALIT" w:hAnsi="HERVALIT"/>
        </w:rPr>
        <w:t>RD$</w:t>
      </w:r>
      <w:r w:rsidR="00E20D58">
        <w:rPr>
          <w:rFonts w:ascii="HERVALIT" w:hAnsi="HERVALIT"/>
        </w:rPr>
        <w:t>71,950,147.37</w:t>
      </w:r>
      <w:r w:rsidRPr="004F1AC0">
        <w:rPr>
          <w:rFonts w:ascii="HERVALIT" w:hAnsi="HERVALIT"/>
        </w:rPr>
        <w:t>, respectivamente, según detalle:</w:t>
      </w:r>
    </w:p>
    <w:p w14:paraId="46B2B312" w14:textId="77777777" w:rsidR="00E20D58" w:rsidRDefault="00E20D58" w:rsidP="002F4AEF">
      <w:pPr>
        <w:pStyle w:val="Sinespaciado"/>
        <w:jc w:val="both"/>
        <w:rPr>
          <w:rFonts w:ascii="HERVALIT" w:hAnsi="HERVALIT"/>
        </w:rPr>
      </w:pPr>
    </w:p>
    <w:p w14:paraId="3963DFEA" w14:textId="44C116C0" w:rsidR="00E20D58" w:rsidRDefault="00E20D58" w:rsidP="002F4AEF">
      <w:pPr>
        <w:pStyle w:val="Sinespaciado"/>
        <w:jc w:val="both"/>
        <w:rPr>
          <w:rFonts w:ascii="HERVALIT" w:hAnsi="HERVALIT"/>
        </w:rPr>
      </w:pPr>
      <w:r w:rsidRPr="00E20D58">
        <w:rPr>
          <w:noProof/>
          <w:lang w:eastAsia="es-DO"/>
        </w:rPr>
        <w:drawing>
          <wp:inline distT="0" distB="0" distL="0" distR="0" wp14:anchorId="08F9D31D" wp14:editId="527E5474">
            <wp:extent cx="5731510" cy="1044575"/>
            <wp:effectExtent l="0" t="0" r="2540" b="3175"/>
            <wp:docPr id="1559564947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4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AE160" w14:textId="77777777" w:rsidR="00E20D58" w:rsidRDefault="00E20D58" w:rsidP="002F4AEF">
      <w:pPr>
        <w:pStyle w:val="Sinespaciado"/>
        <w:jc w:val="both"/>
        <w:rPr>
          <w:rFonts w:ascii="HERVALIT" w:hAnsi="HERVALIT"/>
        </w:rPr>
      </w:pPr>
    </w:p>
    <w:p w14:paraId="7722658E" w14:textId="77777777" w:rsidR="00E20D58" w:rsidRDefault="00E20D58" w:rsidP="002F4AEF">
      <w:pPr>
        <w:pStyle w:val="Sinespaciado"/>
        <w:jc w:val="both"/>
        <w:rPr>
          <w:rFonts w:ascii="HERVALIT" w:hAnsi="HERVALIT"/>
        </w:rPr>
      </w:pPr>
    </w:p>
    <w:p w14:paraId="056D65BC" w14:textId="77777777" w:rsidR="00420F7A" w:rsidRPr="004F1AC0" w:rsidRDefault="00420F7A" w:rsidP="002F4AEF">
      <w:pPr>
        <w:pStyle w:val="Sinespaciado"/>
        <w:jc w:val="both"/>
        <w:rPr>
          <w:rFonts w:ascii="HERVALIT" w:hAnsi="HERVALIT"/>
        </w:rPr>
      </w:pPr>
    </w:p>
    <w:p w14:paraId="638E4546" w14:textId="03BE9A4D" w:rsidR="00D23DCB" w:rsidRPr="000324A2" w:rsidRDefault="00D23DCB" w:rsidP="002F4AEF">
      <w:pPr>
        <w:pStyle w:val="Sinespaciado"/>
        <w:jc w:val="both"/>
        <w:rPr>
          <w:rFonts w:ascii="HERVALIT" w:hAnsi="HERVALIT"/>
          <w:b/>
          <w:bCs/>
        </w:rPr>
      </w:pPr>
      <w:r w:rsidRPr="000324A2">
        <w:rPr>
          <w:rFonts w:ascii="HERVALIT" w:hAnsi="HERVALIT"/>
          <w:b/>
          <w:bCs/>
        </w:rPr>
        <w:t>Nota 1</w:t>
      </w:r>
      <w:r w:rsidR="000324A2" w:rsidRPr="000324A2">
        <w:rPr>
          <w:rFonts w:ascii="HERVALIT" w:hAnsi="HERVALIT"/>
          <w:b/>
          <w:bCs/>
        </w:rPr>
        <w:t>2</w:t>
      </w:r>
      <w:r w:rsidRPr="000324A2">
        <w:rPr>
          <w:rFonts w:ascii="HERVALIT" w:hAnsi="HERVALIT"/>
          <w:b/>
          <w:bCs/>
        </w:rPr>
        <w:t>: Activos intangibles</w:t>
      </w:r>
    </w:p>
    <w:p w14:paraId="06FECD6B" w14:textId="77777777" w:rsidR="000324A2" w:rsidRDefault="000324A2" w:rsidP="002F4AEF">
      <w:pPr>
        <w:pStyle w:val="Sinespaciado"/>
        <w:jc w:val="both"/>
        <w:rPr>
          <w:rFonts w:ascii="HERVALIT" w:hAnsi="HERVALIT"/>
        </w:rPr>
      </w:pPr>
    </w:p>
    <w:p w14:paraId="127B0BD8" w14:textId="38220791" w:rsidR="00D23DCB" w:rsidRDefault="00D23DCB" w:rsidP="002F4AEF">
      <w:pPr>
        <w:pStyle w:val="Sinespaciado"/>
        <w:jc w:val="both"/>
        <w:rPr>
          <w:rFonts w:ascii="HERVALIT" w:hAnsi="HERVALIT"/>
        </w:rPr>
      </w:pPr>
      <w:r w:rsidRPr="00D23DCB">
        <w:rPr>
          <w:rFonts w:ascii="HERVALIT" w:hAnsi="HERVALIT"/>
        </w:rPr>
        <w:t xml:space="preserve">Al </w:t>
      </w:r>
      <w:r w:rsidR="00F93955" w:rsidRPr="0024233A">
        <w:rPr>
          <w:rFonts w:ascii="HERVALIT" w:hAnsi="HERVALIT"/>
        </w:rPr>
        <w:t>3</w:t>
      </w:r>
      <w:r w:rsidR="00F93955">
        <w:rPr>
          <w:rFonts w:ascii="HERVALIT" w:hAnsi="HERVALIT"/>
        </w:rPr>
        <w:t>0</w:t>
      </w:r>
      <w:r w:rsidR="00F93955" w:rsidRPr="0024233A">
        <w:rPr>
          <w:rFonts w:ascii="HERVALIT" w:hAnsi="HERVALIT"/>
        </w:rPr>
        <w:t xml:space="preserve"> de </w:t>
      </w:r>
      <w:r w:rsidR="00F93955">
        <w:rPr>
          <w:rFonts w:ascii="HERVALIT" w:hAnsi="HERVALIT"/>
        </w:rPr>
        <w:t xml:space="preserve">junio y al 31 de </w:t>
      </w:r>
      <w:r w:rsidR="00F93955" w:rsidRPr="0024233A">
        <w:rPr>
          <w:rFonts w:ascii="HERVALIT" w:hAnsi="HERVALIT"/>
        </w:rPr>
        <w:t>diciembre de los períodos fiscales 202</w:t>
      </w:r>
      <w:r w:rsidR="00F93955">
        <w:rPr>
          <w:rFonts w:ascii="HERVALIT" w:hAnsi="HERVALIT"/>
        </w:rPr>
        <w:t>6</w:t>
      </w:r>
      <w:r w:rsidR="00F93955" w:rsidRPr="0024233A">
        <w:rPr>
          <w:rFonts w:ascii="HERVALIT" w:hAnsi="HERVALIT"/>
        </w:rPr>
        <w:t xml:space="preserve"> y 202</w:t>
      </w:r>
      <w:r w:rsidR="00F93955">
        <w:rPr>
          <w:rFonts w:ascii="HERVALIT" w:hAnsi="HERVALIT"/>
        </w:rPr>
        <w:t>5</w:t>
      </w:r>
      <w:r w:rsidRPr="00D23DCB">
        <w:rPr>
          <w:rFonts w:ascii="HERVALIT" w:hAnsi="HERVALIT"/>
        </w:rPr>
        <w:t>, los balances de las cuentas bienes intangibles consisten en: paquetes y programas de computación, costos de estudios y proyectos y otros bienes intangibles, presentan balances de RD$0</w:t>
      </w:r>
      <w:r w:rsidR="000324A2">
        <w:rPr>
          <w:rFonts w:ascii="HERVALIT" w:hAnsi="HERVALIT"/>
        </w:rPr>
        <w:t>.00</w:t>
      </w:r>
      <w:r w:rsidRPr="00D23DCB">
        <w:rPr>
          <w:rFonts w:ascii="HERVALIT" w:hAnsi="HERVALIT"/>
        </w:rPr>
        <w:t xml:space="preserve"> y RD$</w:t>
      </w:r>
      <w:r w:rsidR="000324A2">
        <w:rPr>
          <w:rFonts w:ascii="HERVALIT" w:hAnsi="HERVALIT"/>
        </w:rPr>
        <w:t>21,373.97</w:t>
      </w:r>
      <w:r w:rsidRPr="00D23DCB">
        <w:rPr>
          <w:rFonts w:ascii="HERVALIT" w:hAnsi="HERVALIT"/>
        </w:rPr>
        <w:t xml:space="preserve">, respectivamente, según detalle: </w:t>
      </w:r>
    </w:p>
    <w:p w14:paraId="4678AD67" w14:textId="77777777" w:rsidR="000324A2" w:rsidRDefault="000324A2" w:rsidP="002F4AEF">
      <w:pPr>
        <w:pStyle w:val="Sinespaciado"/>
        <w:jc w:val="both"/>
        <w:rPr>
          <w:rFonts w:ascii="HERVALIT" w:hAnsi="HERVALIT"/>
        </w:rPr>
      </w:pPr>
    </w:p>
    <w:p w14:paraId="249B2772" w14:textId="4F4EBA22" w:rsidR="000324A2" w:rsidRDefault="000324A2" w:rsidP="002F4AEF">
      <w:pPr>
        <w:pStyle w:val="Sinespaciado"/>
        <w:jc w:val="both"/>
        <w:rPr>
          <w:rFonts w:ascii="HERVALIT" w:hAnsi="HERVALIT"/>
        </w:rPr>
      </w:pPr>
      <w:r w:rsidRPr="000324A2">
        <w:rPr>
          <w:noProof/>
          <w:lang w:eastAsia="es-DO"/>
        </w:rPr>
        <w:drawing>
          <wp:inline distT="0" distB="0" distL="0" distR="0" wp14:anchorId="7FA32B17" wp14:editId="615A7691">
            <wp:extent cx="5731510" cy="897255"/>
            <wp:effectExtent l="0" t="0" r="2540" b="0"/>
            <wp:docPr id="1177915909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97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402C2C" w14:textId="77777777" w:rsidR="00C3787E" w:rsidRPr="00D23DCB" w:rsidRDefault="00C3787E" w:rsidP="002F4AEF">
      <w:pPr>
        <w:pStyle w:val="Sinespaciado"/>
        <w:jc w:val="both"/>
        <w:rPr>
          <w:rFonts w:ascii="HERVALIT" w:hAnsi="HERVALIT"/>
        </w:rPr>
      </w:pPr>
    </w:p>
    <w:p w14:paraId="75AA159C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7C7A2280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01D65147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0212EDD1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6E57167B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73EE7BDA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1CC13CA3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7C9026A6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29EE67F2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08CEFC3C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5D0AE726" w14:textId="3A166935" w:rsidR="004D6670" w:rsidRPr="004D6670" w:rsidRDefault="004D6670" w:rsidP="002F4AEF">
      <w:pPr>
        <w:pStyle w:val="Sinespaciado"/>
        <w:jc w:val="both"/>
        <w:rPr>
          <w:rFonts w:ascii="HERVALIT" w:hAnsi="HERVALIT"/>
        </w:rPr>
      </w:pPr>
      <w:r w:rsidRPr="004D6670">
        <w:rPr>
          <w:rFonts w:ascii="HERVALIT" w:hAnsi="HERVALIT"/>
        </w:rPr>
        <w:t>PASIVOS</w:t>
      </w:r>
    </w:p>
    <w:p w14:paraId="6F9C3B17" w14:textId="77777777" w:rsidR="00666BFB" w:rsidRDefault="00666BFB" w:rsidP="002F4AEF">
      <w:pPr>
        <w:pStyle w:val="Sinespaciado"/>
        <w:jc w:val="both"/>
        <w:rPr>
          <w:rFonts w:ascii="HERVALIT" w:hAnsi="HERVALIT"/>
        </w:rPr>
      </w:pPr>
    </w:p>
    <w:p w14:paraId="50535B4A" w14:textId="7EF2AE28" w:rsidR="004D6670" w:rsidRPr="00E25E93" w:rsidRDefault="004D6670" w:rsidP="002F4AEF">
      <w:pPr>
        <w:pStyle w:val="Sinespaciado"/>
        <w:jc w:val="both"/>
        <w:rPr>
          <w:rFonts w:ascii="HERVALIT" w:hAnsi="HERVALIT"/>
          <w:b/>
          <w:bCs/>
        </w:rPr>
      </w:pPr>
      <w:r w:rsidRPr="00E25E93">
        <w:rPr>
          <w:rFonts w:ascii="HERVALIT" w:hAnsi="HERVALIT"/>
          <w:b/>
          <w:bCs/>
        </w:rPr>
        <w:t>Nota 1</w:t>
      </w:r>
      <w:r w:rsidR="00E25E93">
        <w:rPr>
          <w:rFonts w:ascii="HERVALIT" w:hAnsi="HERVALIT"/>
          <w:b/>
          <w:bCs/>
        </w:rPr>
        <w:t>3</w:t>
      </w:r>
      <w:r w:rsidRPr="00E25E93">
        <w:rPr>
          <w:rFonts w:ascii="HERVALIT" w:hAnsi="HERVALIT"/>
          <w:b/>
          <w:bCs/>
        </w:rPr>
        <w:t xml:space="preserve">: Cuentas por pagar a corto plazo </w:t>
      </w:r>
    </w:p>
    <w:p w14:paraId="6E0E76D7" w14:textId="77777777" w:rsidR="0067705F" w:rsidRDefault="0067705F" w:rsidP="002F4AEF">
      <w:pPr>
        <w:pStyle w:val="Sinespaciado"/>
        <w:jc w:val="both"/>
        <w:rPr>
          <w:rFonts w:ascii="HERVALIT" w:hAnsi="HERVALIT"/>
        </w:rPr>
      </w:pPr>
    </w:p>
    <w:p w14:paraId="049465EC" w14:textId="13B28AE0" w:rsidR="004D6670" w:rsidRDefault="004D6670" w:rsidP="002F4AEF">
      <w:pPr>
        <w:pStyle w:val="Sinespaciado"/>
        <w:jc w:val="both"/>
        <w:rPr>
          <w:rFonts w:ascii="HERVALIT" w:hAnsi="HERVALIT"/>
        </w:rPr>
      </w:pPr>
      <w:r w:rsidRPr="004D6670">
        <w:rPr>
          <w:rFonts w:ascii="HERVALIT" w:hAnsi="HERVALIT"/>
        </w:rPr>
        <w:t xml:space="preserve">Al </w:t>
      </w:r>
      <w:r w:rsidR="0067705F" w:rsidRPr="0024233A">
        <w:rPr>
          <w:rFonts w:ascii="HERVALIT" w:hAnsi="HERVALIT"/>
        </w:rPr>
        <w:t>3</w:t>
      </w:r>
      <w:r w:rsidR="0067705F">
        <w:rPr>
          <w:rFonts w:ascii="HERVALIT" w:hAnsi="HERVALIT"/>
        </w:rPr>
        <w:t>0</w:t>
      </w:r>
      <w:r w:rsidR="0067705F" w:rsidRPr="0024233A">
        <w:rPr>
          <w:rFonts w:ascii="HERVALIT" w:hAnsi="HERVALIT"/>
        </w:rPr>
        <w:t xml:space="preserve"> de </w:t>
      </w:r>
      <w:r w:rsidR="0067705F">
        <w:rPr>
          <w:rFonts w:ascii="HERVALIT" w:hAnsi="HERVALIT"/>
        </w:rPr>
        <w:t xml:space="preserve">junio y al 31 de </w:t>
      </w:r>
      <w:r w:rsidR="0067705F" w:rsidRPr="0024233A">
        <w:rPr>
          <w:rFonts w:ascii="HERVALIT" w:hAnsi="HERVALIT"/>
        </w:rPr>
        <w:t>diciembre de los períodos fiscales 202</w:t>
      </w:r>
      <w:r w:rsidR="0067705F">
        <w:rPr>
          <w:rFonts w:ascii="HERVALIT" w:hAnsi="HERVALIT"/>
        </w:rPr>
        <w:t>6</w:t>
      </w:r>
      <w:r w:rsidR="0067705F" w:rsidRPr="0024233A">
        <w:rPr>
          <w:rFonts w:ascii="HERVALIT" w:hAnsi="HERVALIT"/>
        </w:rPr>
        <w:t xml:space="preserve"> y 202</w:t>
      </w:r>
      <w:r w:rsidR="0067705F">
        <w:rPr>
          <w:rFonts w:ascii="HERVALIT" w:hAnsi="HERVALIT"/>
        </w:rPr>
        <w:t>5</w:t>
      </w:r>
      <w:r w:rsidRPr="004D6670">
        <w:rPr>
          <w:rFonts w:ascii="HERVALIT" w:hAnsi="HERVALIT"/>
        </w:rPr>
        <w:t>, las cuentas por pagar a</w:t>
      </w:r>
      <w:r w:rsidR="0067705F">
        <w:rPr>
          <w:rFonts w:ascii="HERVALIT" w:hAnsi="HERVALIT"/>
        </w:rPr>
        <w:t xml:space="preserve"> </w:t>
      </w:r>
      <w:r w:rsidRPr="004D6670">
        <w:rPr>
          <w:rFonts w:ascii="HERVALIT" w:hAnsi="HERVALIT"/>
        </w:rPr>
        <w:t>corto plazo, presentan</w:t>
      </w:r>
      <w:r w:rsidR="0067705F">
        <w:rPr>
          <w:rFonts w:ascii="HERVALIT" w:hAnsi="HERVALIT"/>
        </w:rPr>
        <w:t xml:space="preserve"> </w:t>
      </w:r>
      <w:r w:rsidRPr="004D6670">
        <w:rPr>
          <w:rFonts w:ascii="HERVALIT" w:hAnsi="HERVALIT"/>
        </w:rPr>
        <w:t>balances de RD$</w:t>
      </w:r>
      <w:r w:rsidR="00E25E93">
        <w:rPr>
          <w:rFonts w:ascii="HERVALIT" w:hAnsi="HERVALIT"/>
        </w:rPr>
        <w:t>6,632,955.20</w:t>
      </w:r>
      <w:r w:rsidRPr="004D6670">
        <w:rPr>
          <w:rFonts w:ascii="HERVALIT" w:hAnsi="HERVALIT"/>
        </w:rPr>
        <w:t xml:space="preserve"> y</w:t>
      </w:r>
      <w:r w:rsidR="00E25E93">
        <w:rPr>
          <w:rFonts w:ascii="HERVALIT" w:hAnsi="HERVALIT"/>
        </w:rPr>
        <w:t xml:space="preserve"> </w:t>
      </w:r>
      <w:r w:rsidRPr="004D6670">
        <w:rPr>
          <w:rFonts w:ascii="HERVALIT" w:hAnsi="HERVALIT"/>
        </w:rPr>
        <w:t>RD$</w:t>
      </w:r>
      <w:r w:rsidR="00E25E93">
        <w:rPr>
          <w:rFonts w:ascii="HERVALIT" w:hAnsi="HERVALIT"/>
        </w:rPr>
        <w:t>39,120,718.80</w:t>
      </w:r>
      <w:r w:rsidRPr="004D6670">
        <w:rPr>
          <w:rFonts w:ascii="HERVALIT" w:hAnsi="HERVALIT"/>
        </w:rPr>
        <w:t>,</w:t>
      </w:r>
      <w:r w:rsidR="0067705F">
        <w:rPr>
          <w:rFonts w:ascii="HERVALIT" w:hAnsi="HERVALIT"/>
        </w:rPr>
        <w:t xml:space="preserve"> </w:t>
      </w:r>
      <w:r w:rsidRPr="004D6670">
        <w:rPr>
          <w:rFonts w:ascii="HERVALIT" w:hAnsi="HERVALIT"/>
        </w:rPr>
        <w:t>respectivamente,</w:t>
      </w:r>
      <w:r w:rsidR="0067705F">
        <w:rPr>
          <w:rFonts w:ascii="HERVALIT" w:hAnsi="HERVALIT"/>
        </w:rPr>
        <w:t xml:space="preserve"> </w:t>
      </w:r>
      <w:r w:rsidRPr="004D6670">
        <w:rPr>
          <w:rFonts w:ascii="HERVALIT" w:hAnsi="HERVALIT"/>
        </w:rPr>
        <w:t>según detalle:</w:t>
      </w:r>
    </w:p>
    <w:p w14:paraId="7836B09E" w14:textId="77777777" w:rsidR="0067705F" w:rsidRPr="004D6670" w:rsidRDefault="0067705F" w:rsidP="002F4AEF">
      <w:pPr>
        <w:pStyle w:val="Sinespaciado"/>
        <w:jc w:val="both"/>
        <w:rPr>
          <w:rFonts w:ascii="HERVALIT" w:hAnsi="HERVALIT"/>
        </w:rPr>
      </w:pPr>
    </w:p>
    <w:p w14:paraId="1EF790DF" w14:textId="6522950F" w:rsidR="004D6670" w:rsidRDefault="004D6670" w:rsidP="002F4AEF">
      <w:pPr>
        <w:pStyle w:val="Sinespaciado"/>
        <w:jc w:val="both"/>
        <w:rPr>
          <w:rFonts w:ascii="HERVALIT" w:hAnsi="HERVALIT"/>
        </w:rPr>
      </w:pPr>
      <w:r w:rsidRPr="004D6670">
        <w:rPr>
          <w:rFonts w:ascii="HERVALIT" w:hAnsi="HERVALIT"/>
        </w:rPr>
        <w:t>Cuentas por pagar a corto plazo:</w:t>
      </w:r>
    </w:p>
    <w:p w14:paraId="14B62CF4" w14:textId="77777777" w:rsidR="00E25E93" w:rsidRDefault="00E25E93" w:rsidP="002F4AEF">
      <w:pPr>
        <w:pStyle w:val="Sinespaciado"/>
        <w:jc w:val="both"/>
        <w:rPr>
          <w:rFonts w:ascii="HERVALIT" w:hAnsi="HERVALIT"/>
        </w:rPr>
      </w:pPr>
    </w:p>
    <w:p w14:paraId="6190B0B3" w14:textId="47253906" w:rsidR="00E25E93" w:rsidRDefault="00E25E93" w:rsidP="002F4AEF">
      <w:pPr>
        <w:pStyle w:val="Sinespaciado"/>
        <w:jc w:val="both"/>
        <w:rPr>
          <w:rFonts w:ascii="HERVALIT" w:hAnsi="HERVALIT"/>
        </w:rPr>
      </w:pPr>
      <w:r w:rsidRPr="00E25E93">
        <w:rPr>
          <w:noProof/>
          <w:lang w:eastAsia="es-DO"/>
        </w:rPr>
        <w:drawing>
          <wp:inline distT="0" distB="0" distL="0" distR="0" wp14:anchorId="1F51EC55" wp14:editId="182AF4D9">
            <wp:extent cx="5731510" cy="2700655"/>
            <wp:effectExtent l="0" t="0" r="2540" b="4445"/>
            <wp:docPr id="115720500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270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335261" w14:textId="77777777" w:rsidR="0067705F" w:rsidRPr="004D6670" w:rsidRDefault="0067705F" w:rsidP="002F4AEF">
      <w:pPr>
        <w:pStyle w:val="Sinespaciado"/>
        <w:jc w:val="both"/>
        <w:rPr>
          <w:rFonts w:ascii="HERVALIT" w:hAnsi="HERVALIT"/>
        </w:rPr>
      </w:pPr>
    </w:p>
    <w:p w14:paraId="74875E29" w14:textId="6384A64E" w:rsidR="00435681" w:rsidRPr="00E25E93" w:rsidRDefault="005E1D14" w:rsidP="002F4AEF">
      <w:pPr>
        <w:pStyle w:val="Sinespaciado"/>
        <w:jc w:val="both"/>
        <w:rPr>
          <w:rFonts w:ascii="HERVALIT" w:hAnsi="HERVALIT"/>
          <w:b/>
          <w:bCs/>
        </w:rPr>
      </w:pPr>
      <w:r w:rsidRPr="00E25E93">
        <w:rPr>
          <w:rFonts w:ascii="HERVALIT" w:hAnsi="HERVALIT"/>
          <w:b/>
          <w:bCs/>
        </w:rPr>
        <w:t xml:space="preserve">Nota </w:t>
      </w:r>
      <w:r w:rsidR="00E25E93">
        <w:rPr>
          <w:rFonts w:ascii="HERVALIT" w:hAnsi="HERVALIT"/>
          <w:b/>
          <w:bCs/>
        </w:rPr>
        <w:t>14</w:t>
      </w:r>
      <w:r w:rsidRPr="00E25E93">
        <w:rPr>
          <w:rFonts w:ascii="HERVALIT" w:hAnsi="HERVALIT"/>
          <w:b/>
          <w:bCs/>
        </w:rPr>
        <w:t>: Cuentas por pagar a largo plazo</w:t>
      </w:r>
    </w:p>
    <w:p w14:paraId="6918A0AF" w14:textId="77777777" w:rsidR="00435681" w:rsidRPr="005E1D14" w:rsidRDefault="00435681" w:rsidP="002F4AEF">
      <w:pPr>
        <w:pStyle w:val="Sinespaciado"/>
        <w:jc w:val="both"/>
        <w:rPr>
          <w:rFonts w:ascii="HERVALIT" w:hAnsi="HERVALIT"/>
        </w:rPr>
      </w:pPr>
    </w:p>
    <w:p w14:paraId="47DBF43A" w14:textId="5FBB1B45" w:rsidR="005E1D14" w:rsidRDefault="005E1D14" w:rsidP="002F4AEF">
      <w:pPr>
        <w:pStyle w:val="Sinespaciado"/>
        <w:jc w:val="both"/>
        <w:rPr>
          <w:rFonts w:ascii="HERVALIT" w:hAnsi="HERVALIT"/>
        </w:rPr>
      </w:pPr>
      <w:r w:rsidRPr="005E1D14">
        <w:rPr>
          <w:rFonts w:ascii="HERVALIT" w:hAnsi="HERVALIT"/>
        </w:rPr>
        <w:t xml:space="preserve">Al </w:t>
      </w:r>
      <w:r w:rsidR="00435681" w:rsidRPr="0024233A">
        <w:rPr>
          <w:rFonts w:ascii="HERVALIT" w:hAnsi="HERVALIT"/>
        </w:rPr>
        <w:t>3</w:t>
      </w:r>
      <w:r w:rsidR="00435681">
        <w:rPr>
          <w:rFonts w:ascii="HERVALIT" w:hAnsi="HERVALIT"/>
        </w:rPr>
        <w:t>0</w:t>
      </w:r>
      <w:r w:rsidR="00435681" w:rsidRPr="0024233A">
        <w:rPr>
          <w:rFonts w:ascii="HERVALIT" w:hAnsi="HERVALIT"/>
        </w:rPr>
        <w:t xml:space="preserve"> de </w:t>
      </w:r>
      <w:r w:rsidR="00435681">
        <w:rPr>
          <w:rFonts w:ascii="HERVALIT" w:hAnsi="HERVALIT"/>
        </w:rPr>
        <w:t xml:space="preserve">junio y al 31 de </w:t>
      </w:r>
      <w:r w:rsidR="00435681" w:rsidRPr="0024233A">
        <w:rPr>
          <w:rFonts w:ascii="HERVALIT" w:hAnsi="HERVALIT"/>
        </w:rPr>
        <w:t>diciembre de los períodos fiscales 202</w:t>
      </w:r>
      <w:r w:rsidR="00435681">
        <w:rPr>
          <w:rFonts w:ascii="HERVALIT" w:hAnsi="HERVALIT"/>
        </w:rPr>
        <w:t>6</w:t>
      </w:r>
      <w:r w:rsidR="00435681" w:rsidRPr="0024233A">
        <w:rPr>
          <w:rFonts w:ascii="HERVALIT" w:hAnsi="HERVALIT"/>
        </w:rPr>
        <w:t xml:space="preserve"> y 202</w:t>
      </w:r>
      <w:r w:rsidR="00435681">
        <w:rPr>
          <w:rFonts w:ascii="HERVALIT" w:hAnsi="HERVALIT"/>
        </w:rPr>
        <w:t>5</w:t>
      </w:r>
      <w:r w:rsidRPr="005E1D14">
        <w:rPr>
          <w:rFonts w:ascii="HERVALIT" w:hAnsi="HERVALIT"/>
        </w:rPr>
        <w:t>, las cuentas por pagar a largo plazo presentan balances de RD$</w:t>
      </w:r>
      <w:r w:rsidR="00E25E93">
        <w:rPr>
          <w:rFonts w:ascii="HERVALIT" w:hAnsi="HERVALIT"/>
        </w:rPr>
        <w:t>57,651,753.33</w:t>
      </w:r>
      <w:r w:rsidRPr="005E1D14">
        <w:rPr>
          <w:rFonts w:ascii="HERVALIT" w:hAnsi="HERVALIT"/>
        </w:rPr>
        <w:t xml:space="preserve"> y RD$</w:t>
      </w:r>
      <w:r w:rsidR="00E25E93">
        <w:rPr>
          <w:rFonts w:ascii="HERVALIT" w:hAnsi="HERVALIT"/>
        </w:rPr>
        <w:t>57,645,653.33</w:t>
      </w:r>
      <w:r w:rsidRPr="005E1D14">
        <w:rPr>
          <w:rFonts w:ascii="HERVALIT" w:hAnsi="HERVALIT"/>
        </w:rPr>
        <w:t>, respectivamente, según detalle:</w:t>
      </w:r>
    </w:p>
    <w:p w14:paraId="059DCBF6" w14:textId="77777777" w:rsidR="00E25E93" w:rsidRDefault="00E25E93" w:rsidP="002F4AEF">
      <w:pPr>
        <w:pStyle w:val="Sinespaciado"/>
        <w:jc w:val="both"/>
        <w:rPr>
          <w:rFonts w:ascii="HERVALIT" w:hAnsi="HERVALIT"/>
        </w:rPr>
      </w:pPr>
    </w:p>
    <w:p w14:paraId="327A785A" w14:textId="1D0D3C10" w:rsidR="00E25E93" w:rsidRDefault="00E25E93" w:rsidP="002F4AEF">
      <w:pPr>
        <w:pStyle w:val="Sinespaciado"/>
        <w:jc w:val="both"/>
        <w:rPr>
          <w:rFonts w:ascii="HERVALIT" w:hAnsi="HERVALIT"/>
        </w:rPr>
      </w:pPr>
      <w:r w:rsidRPr="00E25E93">
        <w:rPr>
          <w:noProof/>
          <w:lang w:eastAsia="es-DO"/>
        </w:rPr>
        <w:lastRenderedPageBreak/>
        <w:drawing>
          <wp:inline distT="0" distB="0" distL="0" distR="0" wp14:anchorId="186F4471" wp14:editId="78AEB44B">
            <wp:extent cx="5731510" cy="1590675"/>
            <wp:effectExtent l="0" t="0" r="2540" b="9525"/>
            <wp:docPr id="989943643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A82771" w14:textId="77777777" w:rsidR="00435681" w:rsidRPr="005E1D14" w:rsidRDefault="00435681" w:rsidP="002F4AEF">
      <w:pPr>
        <w:pStyle w:val="Sinespaciado"/>
        <w:jc w:val="both"/>
        <w:rPr>
          <w:rFonts w:ascii="HERVALIT" w:hAnsi="HERVALIT"/>
        </w:rPr>
      </w:pPr>
    </w:p>
    <w:p w14:paraId="446E5022" w14:textId="77777777" w:rsidR="0061168E" w:rsidRDefault="0061168E" w:rsidP="002F4AEF">
      <w:pPr>
        <w:pStyle w:val="Sinespaciado"/>
        <w:jc w:val="both"/>
        <w:rPr>
          <w:rFonts w:ascii="HERVALIT" w:hAnsi="HERVALIT"/>
        </w:rPr>
      </w:pPr>
    </w:p>
    <w:p w14:paraId="78BE661D" w14:textId="77777777" w:rsidR="0061168E" w:rsidRDefault="0061168E" w:rsidP="002F4AEF">
      <w:pPr>
        <w:pStyle w:val="Sinespaciado"/>
        <w:jc w:val="both"/>
        <w:rPr>
          <w:rFonts w:ascii="HERVALIT" w:hAnsi="HERVALIT"/>
        </w:rPr>
      </w:pPr>
    </w:p>
    <w:p w14:paraId="7A0AAC95" w14:textId="77777777" w:rsidR="0061168E" w:rsidRDefault="0061168E" w:rsidP="002F4AEF">
      <w:pPr>
        <w:pStyle w:val="Sinespaciado"/>
        <w:jc w:val="both"/>
        <w:rPr>
          <w:rFonts w:ascii="HERVALIT" w:hAnsi="HERVALIT"/>
        </w:rPr>
      </w:pPr>
    </w:p>
    <w:p w14:paraId="6A07CA01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14A84412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6AB5939C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5DE56EC4" w14:textId="77777777" w:rsidR="00DA2910" w:rsidRDefault="00DA2910" w:rsidP="002F4AEF">
      <w:pPr>
        <w:pStyle w:val="Sinespaciado"/>
        <w:jc w:val="both"/>
        <w:rPr>
          <w:rFonts w:ascii="HERVALIT" w:hAnsi="HERVALIT"/>
        </w:rPr>
      </w:pPr>
    </w:p>
    <w:p w14:paraId="54EB426C" w14:textId="52ECB4EB" w:rsidR="00A5030D" w:rsidRPr="00A5030D" w:rsidRDefault="00A5030D" w:rsidP="002F4AEF">
      <w:pPr>
        <w:pStyle w:val="Sinespaciado"/>
        <w:jc w:val="both"/>
        <w:rPr>
          <w:rFonts w:ascii="HERVALIT" w:hAnsi="HERVALIT"/>
        </w:rPr>
      </w:pPr>
      <w:r w:rsidRPr="00A5030D">
        <w:rPr>
          <w:rFonts w:ascii="HERVALIT" w:hAnsi="HERVALIT"/>
        </w:rPr>
        <w:t>GASTOS</w:t>
      </w:r>
    </w:p>
    <w:p w14:paraId="4CF854F6" w14:textId="77777777" w:rsidR="00E31CBF" w:rsidRDefault="00E31CBF" w:rsidP="002F4AEF">
      <w:pPr>
        <w:pStyle w:val="Sinespaciado"/>
        <w:jc w:val="both"/>
        <w:rPr>
          <w:rFonts w:ascii="HERVALIT" w:hAnsi="HERVALIT"/>
        </w:rPr>
      </w:pPr>
    </w:p>
    <w:p w14:paraId="60600B17" w14:textId="54EE1222" w:rsidR="00A5030D" w:rsidRPr="0061168E" w:rsidRDefault="00A5030D" w:rsidP="002F4AEF">
      <w:pPr>
        <w:pStyle w:val="Sinespaciado"/>
        <w:jc w:val="both"/>
        <w:rPr>
          <w:rFonts w:ascii="HERVALIT" w:hAnsi="HERVALIT"/>
          <w:b/>
          <w:bCs/>
        </w:rPr>
      </w:pPr>
      <w:r w:rsidRPr="0061168E">
        <w:rPr>
          <w:rFonts w:ascii="HERVALIT" w:hAnsi="HERVALIT"/>
          <w:b/>
          <w:bCs/>
        </w:rPr>
        <w:t xml:space="preserve">Nota </w:t>
      </w:r>
      <w:r w:rsidR="0061168E" w:rsidRPr="0061168E">
        <w:rPr>
          <w:rFonts w:ascii="HERVALIT" w:hAnsi="HERVALIT"/>
          <w:b/>
          <w:bCs/>
        </w:rPr>
        <w:t>15</w:t>
      </w:r>
      <w:r w:rsidRPr="0061168E">
        <w:rPr>
          <w:rFonts w:ascii="HERVALIT" w:hAnsi="HERVALIT"/>
          <w:b/>
          <w:bCs/>
        </w:rPr>
        <w:t>: Sueldos, salarios y beneficios a empleados (remuneraciones)</w:t>
      </w:r>
    </w:p>
    <w:p w14:paraId="50AAB6A3" w14:textId="77777777" w:rsidR="00E31CBF" w:rsidRDefault="00E31CBF" w:rsidP="002F4AEF">
      <w:pPr>
        <w:pStyle w:val="Sinespaciado"/>
        <w:jc w:val="both"/>
        <w:rPr>
          <w:rFonts w:ascii="HERVALIT" w:hAnsi="HERVALIT"/>
        </w:rPr>
      </w:pPr>
    </w:p>
    <w:p w14:paraId="690D7AB1" w14:textId="337347B2" w:rsidR="00A5030D" w:rsidRDefault="00A5030D" w:rsidP="002F4AEF">
      <w:pPr>
        <w:pStyle w:val="Sinespaciado"/>
        <w:jc w:val="both"/>
        <w:rPr>
          <w:rFonts w:ascii="HERVALIT" w:hAnsi="HERVALIT"/>
        </w:rPr>
      </w:pPr>
      <w:r w:rsidRPr="00A5030D">
        <w:rPr>
          <w:rFonts w:ascii="HERVALIT" w:hAnsi="HERVALIT"/>
        </w:rPr>
        <w:t>Durante los períodos fiscales 202</w:t>
      </w:r>
      <w:r w:rsidR="008312FB">
        <w:rPr>
          <w:rFonts w:ascii="HERVALIT" w:hAnsi="HERVALIT"/>
        </w:rPr>
        <w:t>6</w:t>
      </w:r>
      <w:r w:rsidRPr="00A5030D">
        <w:rPr>
          <w:rFonts w:ascii="HERVALIT" w:hAnsi="HERVALIT"/>
        </w:rPr>
        <w:t xml:space="preserve"> y 202</w:t>
      </w:r>
      <w:r w:rsidR="008312FB">
        <w:rPr>
          <w:rFonts w:ascii="HERVALIT" w:hAnsi="HERVALIT"/>
        </w:rPr>
        <w:t>5</w:t>
      </w:r>
      <w:r w:rsidRPr="00A5030D">
        <w:rPr>
          <w:rFonts w:ascii="HERVALIT" w:hAnsi="HERVALIT"/>
        </w:rPr>
        <w:t>, los gastos por concepto de remuneraciones presentan balances de RD$</w:t>
      </w:r>
      <w:r w:rsidR="000B707A">
        <w:rPr>
          <w:rFonts w:ascii="HERVALIT" w:hAnsi="HERVALIT"/>
        </w:rPr>
        <w:t>362,796,175.19</w:t>
      </w:r>
      <w:r w:rsidRPr="00A5030D">
        <w:rPr>
          <w:rFonts w:ascii="HERVALIT" w:hAnsi="HERVALIT"/>
        </w:rPr>
        <w:t xml:space="preserve"> y RD$</w:t>
      </w:r>
      <w:r w:rsidR="000B707A">
        <w:rPr>
          <w:rFonts w:ascii="HERVALIT" w:hAnsi="HERVALIT"/>
        </w:rPr>
        <w:t>958,894,374.26</w:t>
      </w:r>
      <w:r w:rsidRPr="00A5030D">
        <w:rPr>
          <w:rFonts w:ascii="HERVALIT" w:hAnsi="HERVALIT"/>
        </w:rPr>
        <w:t>, respectivamente, según detalle:</w:t>
      </w:r>
    </w:p>
    <w:p w14:paraId="3E9F3DE5" w14:textId="77777777" w:rsidR="0001128D" w:rsidRDefault="0001128D" w:rsidP="002F4AEF">
      <w:pPr>
        <w:pStyle w:val="Sinespaciado"/>
        <w:jc w:val="both"/>
        <w:rPr>
          <w:rFonts w:ascii="HERVALIT" w:hAnsi="HERVALIT"/>
        </w:rPr>
      </w:pPr>
    </w:p>
    <w:p w14:paraId="3BE16EB7" w14:textId="7693ACE2" w:rsidR="0001128D" w:rsidRDefault="0001128D" w:rsidP="002F4AEF">
      <w:pPr>
        <w:pStyle w:val="Sinespaciado"/>
        <w:jc w:val="both"/>
        <w:rPr>
          <w:rFonts w:ascii="HERVALIT" w:hAnsi="HERVALIT"/>
        </w:rPr>
      </w:pPr>
      <w:r w:rsidRPr="0001128D">
        <w:rPr>
          <w:noProof/>
          <w:lang w:eastAsia="es-DO"/>
        </w:rPr>
        <w:drawing>
          <wp:inline distT="0" distB="0" distL="0" distR="0" wp14:anchorId="3CEAAC01" wp14:editId="0A4550F2">
            <wp:extent cx="5731510" cy="1975485"/>
            <wp:effectExtent l="0" t="0" r="2540" b="5715"/>
            <wp:docPr id="459429669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D956FE" w14:textId="77777777" w:rsidR="00894713" w:rsidRDefault="00894713" w:rsidP="002F4AEF">
      <w:pPr>
        <w:pStyle w:val="Sinespaciado"/>
        <w:jc w:val="both"/>
        <w:rPr>
          <w:rFonts w:ascii="HERVALIT" w:hAnsi="HERVALIT"/>
        </w:rPr>
      </w:pPr>
    </w:p>
    <w:p w14:paraId="629556B6" w14:textId="77777777" w:rsidR="00E31CBF" w:rsidRDefault="00E31CBF" w:rsidP="002F4AEF">
      <w:pPr>
        <w:pStyle w:val="Sinespaciado"/>
        <w:jc w:val="both"/>
        <w:rPr>
          <w:rFonts w:ascii="HERVALIT" w:hAnsi="HERVALIT"/>
        </w:rPr>
      </w:pPr>
    </w:p>
    <w:p w14:paraId="02BB1D02" w14:textId="08885CB6" w:rsidR="004B4B2F" w:rsidRPr="0061168E" w:rsidRDefault="004B4B2F" w:rsidP="002F4AEF">
      <w:pPr>
        <w:pStyle w:val="Sinespaciado"/>
        <w:jc w:val="both"/>
        <w:rPr>
          <w:rFonts w:ascii="HERVALIT" w:hAnsi="HERVALIT"/>
          <w:b/>
          <w:bCs/>
        </w:rPr>
      </w:pPr>
      <w:r w:rsidRPr="0061168E">
        <w:rPr>
          <w:rFonts w:ascii="HERVALIT" w:hAnsi="HERVALIT"/>
          <w:b/>
          <w:bCs/>
        </w:rPr>
        <w:t xml:space="preserve">Nota </w:t>
      </w:r>
      <w:r w:rsidR="0061168E">
        <w:rPr>
          <w:rFonts w:ascii="HERVALIT" w:hAnsi="HERVALIT"/>
          <w:b/>
          <w:bCs/>
        </w:rPr>
        <w:t>16</w:t>
      </w:r>
      <w:r w:rsidRPr="0061168E">
        <w:rPr>
          <w:rFonts w:ascii="HERVALIT" w:hAnsi="HERVALIT"/>
          <w:b/>
          <w:bCs/>
        </w:rPr>
        <w:t>: Suministros y material para consumo (bienes y servicios)</w:t>
      </w:r>
    </w:p>
    <w:p w14:paraId="1381048C" w14:textId="77777777" w:rsidR="00E31CBF" w:rsidRPr="004B4B2F" w:rsidRDefault="00E31CBF" w:rsidP="002F4AEF">
      <w:pPr>
        <w:pStyle w:val="Sinespaciado"/>
        <w:jc w:val="both"/>
        <w:rPr>
          <w:rFonts w:ascii="HERVALIT" w:hAnsi="HERVALIT"/>
        </w:rPr>
      </w:pPr>
    </w:p>
    <w:p w14:paraId="64A5465C" w14:textId="24E3DEEC" w:rsidR="004B4B2F" w:rsidRDefault="004B4B2F" w:rsidP="002F4AEF">
      <w:pPr>
        <w:pStyle w:val="Sinespaciado"/>
        <w:jc w:val="both"/>
        <w:rPr>
          <w:rFonts w:ascii="HERVALIT" w:hAnsi="HERVALIT"/>
        </w:rPr>
      </w:pPr>
      <w:r w:rsidRPr="004B4B2F">
        <w:rPr>
          <w:rFonts w:ascii="HERVALIT" w:hAnsi="HERVALIT"/>
        </w:rPr>
        <w:t>Durante los períodos fiscales 202</w:t>
      </w:r>
      <w:r w:rsidR="0061168E">
        <w:rPr>
          <w:rFonts w:ascii="HERVALIT" w:hAnsi="HERVALIT"/>
        </w:rPr>
        <w:t>6</w:t>
      </w:r>
      <w:r w:rsidRPr="004B4B2F">
        <w:rPr>
          <w:rFonts w:ascii="HERVALIT" w:hAnsi="HERVALIT"/>
        </w:rPr>
        <w:t xml:space="preserve"> y 202</w:t>
      </w:r>
      <w:r w:rsidR="0061168E">
        <w:rPr>
          <w:rFonts w:ascii="HERVALIT" w:hAnsi="HERVALIT"/>
        </w:rPr>
        <w:t>5</w:t>
      </w:r>
      <w:r w:rsidRPr="004B4B2F">
        <w:rPr>
          <w:rFonts w:ascii="HERVALIT" w:hAnsi="HERVALIT"/>
        </w:rPr>
        <w:t>, los gastos ejecutados por este concepto presentan balances de RD$</w:t>
      </w:r>
      <w:r w:rsidR="0061168E">
        <w:rPr>
          <w:rFonts w:ascii="HERVALIT" w:hAnsi="HERVALIT"/>
        </w:rPr>
        <w:t>7,653,028.90</w:t>
      </w:r>
      <w:r w:rsidRPr="004B4B2F">
        <w:rPr>
          <w:rFonts w:ascii="HERVALIT" w:hAnsi="HERVALIT"/>
        </w:rPr>
        <w:t xml:space="preserve"> y RD$</w:t>
      </w:r>
      <w:r w:rsidR="0061168E">
        <w:rPr>
          <w:rFonts w:ascii="HERVALIT" w:hAnsi="HERVALIT"/>
        </w:rPr>
        <w:t>20,277,868.86</w:t>
      </w:r>
      <w:r w:rsidRPr="004B4B2F">
        <w:rPr>
          <w:rFonts w:ascii="HERVALIT" w:hAnsi="HERVALIT"/>
        </w:rPr>
        <w:t>, respectivamente, reflejándose un aumento de RD$3,312,214,600, según detalle:</w:t>
      </w:r>
    </w:p>
    <w:p w14:paraId="012193A1" w14:textId="77777777" w:rsidR="0061168E" w:rsidRDefault="0061168E" w:rsidP="002F4AEF">
      <w:pPr>
        <w:pStyle w:val="Sinespaciado"/>
        <w:jc w:val="both"/>
        <w:rPr>
          <w:rFonts w:ascii="HERVALIT" w:hAnsi="HERVALIT"/>
        </w:rPr>
      </w:pPr>
    </w:p>
    <w:p w14:paraId="44E48DC6" w14:textId="22338041" w:rsidR="0061168E" w:rsidRDefault="0061168E" w:rsidP="002F4AEF">
      <w:pPr>
        <w:pStyle w:val="Sinespaciado"/>
        <w:jc w:val="both"/>
        <w:rPr>
          <w:rFonts w:ascii="HERVALIT" w:hAnsi="HERVALIT"/>
        </w:rPr>
      </w:pPr>
      <w:r w:rsidRPr="0061168E">
        <w:rPr>
          <w:noProof/>
          <w:lang w:eastAsia="es-DO"/>
        </w:rPr>
        <w:lastRenderedPageBreak/>
        <w:drawing>
          <wp:inline distT="0" distB="0" distL="0" distR="0" wp14:anchorId="3C95E8D1" wp14:editId="14161510">
            <wp:extent cx="5730240" cy="3663538"/>
            <wp:effectExtent l="0" t="0" r="3810" b="0"/>
            <wp:docPr id="616727439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3871" cy="367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7AA98F" w14:textId="53946FFC" w:rsidR="004B4B2F" w:rsidRPr="00435DE5" w:rsidRDefault="004B4B2F" w:rsidP="002F4AEF">
      <w:pPr>
        <w:pStyle w:val="Sinespaciado"/>
        <w:jc w:val="both"/>
        <w:rPr>
          <w:rFonts w:ascii="HERVALIT" w:hAnsi="HERVALIT"/>
          <w:b/>
          <w:bCs/>
        </w:rPr>
      </w:pPr>
      <w:r w:rsidRPr="00435DE5">
        <w:rPr>
          <w:rFonts w:ascii="HERVALIT" w:hAnsi="HERVALIT"/>
          <w:b/>
          <w:bCs/>
        </w:rPr>
        <w:t>Nota 1</w:t>
      </w:r>
      <w:r w:rsidR="00435DE5">
        <w:rPr>
          <w:rFonts w:ascii="HERVALIT" w:hAnsi="HERVALIT"/>
          <w:b/>
          <w:bCs/>
        </w:rPr>
        <w:t>7</w:t>
      </w:r>
      <w:r w:rsidRPr="00435DE5">
        <w:rPr>
          <w:rFonts w:ascii="HERVALIT" w:hAnsi="HERVALIT"/>
          <w:b/>
          <w:bCs/>
        </w:rPr>
        <w:t>: Contratación de servicios</w:t>
      </w:r>
    </w:p>
    <w:p w14:paraId="0BB7C3A1" w14:textId="77777777" w:rsidR="00E31CBF" w:rsidRDefault="00E31CBF" w:rsidP="002F4AEF">
      <w:pPr>
        <w:pStyle w:val="Sinespaciado"/>
        <w:jc w:val="both"/>
        <w:rPr>
          <w:rFonts w:ascii="HERVALIT" w:hAnsi="HERVALIT"/>
        </w:rPr>
      </w:pPr>
    </w:p>
    <w:p w14:paraId="187E755C" w14:textId="4F805589" w:rsidR="004B4B2F" w:rsidRDefault="004B4B2F" w:rsidP="002F4AEF">
      <w:pPr>
        <w:pStyle w:val="Sinespaciado"/>
        <w:jc w:val="both"/>
        <w:rPr>
          <w:rFonts w:ascii="HERVALIT" w:hAnsi="HERVALIT"/>
        </w:rPr>
      </w:pPr>
      <w:r w:rsidRPr="004B4B2F">
        <w:rPr>
          <w:rFonts w:ascii="HERVALIT" w:hAnsi="HERVALIT"/>
        </w:rPr>
        <w:t>Durante los períodos fiscales 2025 y 2024, los gastos ejecutados a través de esta cuenta presentan balances de RD$</w:t>
      </w:r>
      <w:r w:rsidR="003D494C">
        <w:rPr>
          <w:rFonts w:ascii="HERVALIT" w:hAnsi="HERVALIT"/>
        </w:rPr>
        <w:t>22,112,262.67</w:t>
      </w:r>
      <w:r w:rsidRPr="004B4B2F">
        <w:rPr>
          <w:rFonts w:ascii="HERVALIT" w:hAnsi="HERVALIT"/>
        </w:rPr>
        <w:t xml:space="preserve"> y RD$</w:t>
      </w:r>
      <w:r w:rsidR="003D494C">
        <w:rPr>
          <w:rFonts w:ascii="HERVALIT" w:hAnsi="HERVALIT"/>
        </w:rPr>
        <w:t>61,030,525.48</w:t>
      </w:r>
      <w:r w:rsidRPr="004B4B2F">
        <w:rPr>
          <w:rFonts w:ascii="HERVALIT" w:hAnsi="HERVALIT"/>
        </w:rPr>
        <w:t>, respectivamente, según detalle:</w:t>
      </w:r>
    </w:p>
    <w:p w14:paraId="31E13F11" w14:textId="77777777" w:rsidR="003D494C" w:rsidRDefault="003D494C" w:rsidP="002F4AEF">
      <w:pPr>
        <w:pStyle w:val="Sinespaciado"/>
        <w:jc w:val="both"/>
        <w:rPr>
          <w:rFonts w:ascii="HERVALIT" w:hAnsi="HERVALIT"/>
        </w:rPr>
      </w:pPr>
    </w:p>
    <w:p w14:paraId="53898EDF" w14:textId="210B4A71" w:rsidR="003D494C" w:rsidRDefault="003D494C" w:rsidP="002F4AEF">
      <w:pPr>
        <w:pStyle w:val="Sinespaciado"/>
        <w:jc w:val="both"/>
        <w:rPr>
          <w:rFonts w:ascii="HERVALIT" w:hAnsi="HERVALIT"/>
        </w:rPr>
      </w:pPr>
      <w:r w:rsidRPr="003D494C">
        <w:rPr>
          <w:noProof/>
          <w:lang w:eastAsia="es-DO"/>
        </w:rPr>
        <w:lastRenderedPageBreak/>
        <w:drawing>
          <wp:inline distT="0" distB="0" distL="0" distR="0" wp14:anchorId="41302410" wp14:editId="2FD6F00C">
            <wp:extent cx="5731510" cy="3816626"/>
            <wp:effectExtent l="0" t="0" r="2540" b="0"/>
            <wp:docPr id="1418269184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6" cy="3818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B5D0E3" w14:textId="77777777" w:rsidR="00E31CBF" w:rsidRPr="004B4B2F" w:rsidRDefault="00E31CBF" w:rsidP="002F4AEF">
      <w:pPr>
        <w:pStyle w:val="Sinespaciado"/>
        <w:jc w:val="both"/>
        <w:rPr>
          <w:rFonts w:ascii="HERVALIT" w:hAnsi="HERVALIT"/>
        </w:rPr>
      </w:pPr>
    </w:p>
    <w:p w14:paraId="6A8D193E" w14:textId="77777777" w:rsidR="0042246D" w:rsidRDefault="0042246D" w:rsidP="002F4AEF">
      <w:pPr>
        <w:pStyle w:val="Sinespaciado"/>
        <w:jc w:val="both"/>
        <w:rPr>
          <w:rFonts w:ascii="HERVALIT" w:hAnsi="HERVALIT"/>
        </w:rPr>
      </w:pPr>
    </w:p>
    <w:p w14:paraId="6C2341EE" w14:textId="63C3D346" w:rsidR="00FC2A46" w:rsidRDefault="00FC2A46" w:rsidP="002F4AEF">
      <w:pPr>
        <w:pStyle w:val="Sinespaciado"/>
        <w:jc w:val="both"/>
        <w:rPr>
          <w:rFonts w:ascii="HERVALIT" w:hAnsi="HERVALIT"/>
        </w:rPr>
      </w:pPr>
      <w:r w:rsidRPr="00FC2A46">
        <w:rPr>
          <w:rFonts w:ascii="HERVALIT" w:hAnsi="HERVALIT"/>
        </w:rPr>
        <w:t>ESTADO DE FLUJO DE EFECTIVO</w:t>
      </w:r>
    </w:p>
    <w:p w14:paraId="2DB77D4D" w14:textId="77777777" w:rsidR="00241A15" w:rsidRPr="00FC2A46" w:rsidRDefault="00241A15" w:rsidP="002F4AEF">
      <w:pPr>
        <w:pStyle w:val="Sinespaciado"/>
        <w:jc w:val="both"/>
        <w:rPr>
          <w:rFonts w:ascii="HERVALIT" w:hAnsi="HERVALIT"/>
        </w:rPr>
      </w:pPr>
    </w:p>
    <w:p w14:paraId="7CEA404D" w14:textId="2D0E631A" w:rsidR="00FC2A46" w:rsidRDefault="00FC2A46" w:rsidP="002F4AEF">
      <w:pPr>
        <w:pStyle w:val="Sinespaciado"/>
        <w:jc w:val="both"/>
        <w:rPr>
          <w:rFonts w:ascii="HERVALIT" w:hAnsi="HERVALIT"/>
        </w:rPr>
      </w:pPr>
      <w:r w:rsidRPr="00FC2A46">
        <w:rPr>
          <w:rFonts w:ascii="HERVALIT" w:hAnsi="HERVALIT"/>
        </w:rPr>
        <w:t>Para el c</w:t>
      </w:r>
      <w:r w:rsidR="00933C79">
        <w:rPr>
          <w:rFonts w:ascii="HERVALIT" w:hAnsi="HERVALIT"/>
        </w:rPr>
        <w:t>orte</w:t>
      </w:r>
      <w:r w:rsidRPr="00FC2A46">
        <w:rPr>
          <w:rFonts w:ascii="HERVALIT" w:hAnsi="HERVALIT"/>
        </w:rPr>
        <w:t xml:space="preserve"> de operaciones contables 202</w:t>
      </w:r>
      <w:r w:rsidR="00933C79">
        <w:rPr>
          <w:rFonts w:ascii="HERVALIT" w:hAnsi="HERVALIT"/>
        </w:rPr>
        <w:t>6</w:t>
      </w:r>
      <w:r w:rsidRPr="00FC2A46">
        <w:rPr>
          <w:rFonts w:ascii="HERVALIT" w:hAnsi="HERVALIT"/>
        </w:rPr>
        <w:t>, como fruto de los flujos de efectivo por las actividades de Operación, Inversión y Financiamiento, se incluyeron las operaciones financieras realizadas por la</w:t>
      </w:r>
      <w:r w:rsidR="00933C79">
        <w:rPr>
          <w:rFonts w:ascii="HERVALIT" w:hAnsi="HERVALIT"/>
        </w:rPr>
        <w:t xml:space="preserve"> Dirección General de Bienes Nacionales</w:t>
      </w:r>
      <w:r w:rsidRPr="00FC2A46">
        <w:rPr>
          <w:rFonts w:ascii="HERVALIT" w:hAnsi="HERVALIT"/>
        </w:rPr>
        <w:t xml:space="preserve"> con cuentas bancarias no administradas por la Tesorería Nacional, así como los saldos disponibles al c</w:t>
      </w:r>
      <w:r w:rsidR="0042246D">
        <w:rPr>
          <w:rFonts w:ascii="HERVALIT" w:hAnsi="HERVALIT"/>
        </w:rPr>
        <w:t>orte</w:t>
      </w:r>
      <w:r w:rsidRPr="00FC2A46">
        <w:rPr>
          <w:rFonts w:ascii="HERVALIT" w:hAnsi="HERVALIT"/>
        </w:rPr>
        <w:t xml:space="preserve"> del ejercicio pertenecientes a cuentas bancarias administradas por la Tesorería Nacional. De esta manera en este estado se incluyen las operaciones financieras presupuestarias y no presupuestarias, ajustadas a los criterios y técnicas contables. </w:t>
      </w:r>
    </w:p>
    <w:p w14:paraId="31875F49" w14:textId="77777777" w:rsidR="00241A15" w:rsidRPr="00FC2A46" w:rsidRDefault="00241A15" w:rsidP="002F4AEF">
      <w:pPr>
        <w:pStyle w:val="Sinespaciado"/>
        <w:jc w:val="both"/>
        <w:rPr>
          <w:rFonts w:ascii="HERVALIT" w:hAnsi="HERVALIT"/>
        </w:rPr>
      </w:pPr>
    </w:p>
    <w:p w14:paraId="5D388B93" w14:textId="3C9586E7" w:rsidR="00FC2A46" w:rsidRPr="0042246D" w:rsidRDefault="00FC2A46" w:rsidP="002F4AEF">
      <w:pPr>
        <w:pStyle w:val="Sinespaciado"/>
        <w:jc w:val="both"/>
        <w:rPr>
          <w:rFonts w:ascii="HERVALIT" w:hAnsi="HERVALIT"/>
          <w:b/>
          <w:bCs/>
        </w:rPr>
      </w:pPr>
      <w:r w:rsidRPr="0042246D">
        <w:rPr>
          <w:rFonts w:ascii="HERVALIT" w:hAnsi="HERVALIT"/>
          <w:b/>
          <w:bCs/>
        </w:rPr>
        <w:t xml:space="preserve">Nota </w:t>
      </w:r>
      <w:r w:rsidR="0042246D">
        <w:rPr>
          <w:rFonts w:ascii="HERVALIT" w:hAnsi="HERVALIT"/>
          <w:b/>
          <w:bCs/>
        </w:rPr>
        <w:t>1</w:t>
      </w:r>
      <w:r w:rsidRPr="0042246D">
        <w:rPr>
          <w:rFonts w:ascii="HERVALIT" w:hAnsi="HERVALIT"/>
          <w:b/>
          <w:bCs/>
        </w:rPr>
        <w:t xml:space="preserve">8: Conciliación de los Flujos de Efectivo Netos de las Actividades de Operación y el Resultado Neto de las Actividades Ordinarias. </w:t>
      </w:r>
    </w:p>
    <w:p w14:paraId="2A52C3CE" w14:textId="77777777" w:rsidR="005872AE" w:rsidRDefault="005872AE" w:rsidP="002F4AEF">
      <w:pPr>
        <w:pStyle w:val="Sinespaciado"/>
        <w:jc w:val="both"/>
        <w:rPr>
          <w:rFonts w:ascii="HERVALIT" w:hAnsi="HERVALIT"/>
        </w:rPr>
      </w:pPr>
    </w:p>
    <w:p w14:paraId="786BBDDE" w14:textId="141FC780" w:rsidR="0042246D" w:rsidRPr="00FC2A46" w:rsidRDefault="0042246D" w:rsidP="002F4AEF">
      <w:pPr>
        <w:pStyle w:val="Sinespaciado"/>
        <w:jc w:val="both"/>
        <w:rPr>
          <w:rFonts w:ascii="HERVALIT" w:hAnsi="HERVALIT"/>
        </w:rPr>
      </w:pPr>
      <w:r w:rsidRPr="0042246D">
        <w:rPr>
          <w:noProof/>
          <w:lang w:eastAsia="es-DO"/>
        </w:rPr>
        <w:lastRenderedPageBreak/>
        <w:drawing>
          <wp:inline distT="0" distB="0" distL="0" distR="0" wp14:anchorId="3F3B773C" wp14:editId="0D4DC1CB">
            <wp:extent cx="5943600" cy="5724939"/>
            <wp:effectExtent l="0" t="0" r="0" b="9525"/>
            <wp:docPr id="2086983122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5462" cy="5726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8AD8F3" w14:textId="0C5B2B69" w:rsidR="0042246D" w:rsidRDefault="0042246D" w:rsidP="002F4AEF">
      <w:pPr>
        <w:pStyle w:val="Sinespaciado"/>
        <w:jc w:val="both"/>
        <w:rPr>
          <w:rFonts w:ascii="HERVALIT" w:hAnsi="HERVALIT"/>
        </w:rPr>
      </w:pPr>
    </w:p>
    <w:p w14:paraId="33625E62" w14:textId="77777777" w:rsidR="0042246D" w:rsidRDefault="0042246D" w:rsidP="002F4AEF">
      <w:pPr>
        <w:pStyle w:val="Sinespaciado"/>
        <w:jc w:val="both"/>
        <w:rPr>
          <w:rFonts w:ascii="HERVALIT" w:hAnsi="HERVALIT"/>
        </w:rPr>
      </w:pPr>
    </w:p>
    <w:p w14:paraId="4D0A8548" w14:textId="77777777" w:rsidR="006975A0" w:rsidRDefault="006975A0" w:rsidP="008C1E71">
      <w:pPr>
        <w:pStyle w:val="Sinespaciado"/>
        <w:jc w:val="both"/>
        <w:rPr>
          <w:rFonts w:ascii="HERVALIT" w:hAnsi="HERVALIT"/>
        </w:rPr>
      </w:pPr>
    </w:p>
    <w:p w14:paraId="032895DA" w14:textId="77777777" w:rsidR="006975A0" w:rsidRDefault="006975A0" w:rsidP="008C1E71">
      <w:pPr>
        <w:pStyle w:val="Sinespaciado"/>
        <w:jc w:val="both"/>
        <w:rPr>
          <w:rFonts w:ascii="HERVALIT" w:hAnsi="HERVALIT"/>
        </w:rPr>
      </w:pPr>
    </w:p>
    <w:p w14:paraId="5131C9A4" w14:textId="77777777" w:rsidR="006975A0" w:rsidRDefault="006975A0" w:rsidP="008C1E71">
      <w:pPr>
        <w:pStyle w:val="Sinespaciado"/>
        <w:jc w:val="both"/>
        <w:rPr>
          <w:rFonts w:ascii="HERVALIT" w:hAnsi="HERVALIT"/>
        </w:rPr>
      </w:pPr>
    </w:p>
    <w:p w14:paraId="01EE7B8D" w14:textId="77777777" w:rsidR="006975A0" w:rsidRDefault="006975A0" w:rsidP="008C1E71">
      <w:pPr>
        <w:pStyle w:val="Sinespaciado"/>
        <w:jc w:val="both"/>
        <w:rPr>
          <w:rFonts w:ascii="HERVALIT" w:hAnsi="HERVALIT"/>
        </w:rPr>
      </w:pPr>
    </w:p>
    <w:p w14:paraId="559B3FD7" w14:textId="77777777" w:rsidR="006975A0" w:rsidRDefault="006975A0" w:rsidP="008C1E71">
      <w:pPr>
        <w:pStyle w:val="Sinespaciado"/>
        <w:jc w:val="both"/>
        <w:rPr>
          <w:rFonts w:ascii="HERVALIT" w:hAnsi="HERVALIT"/>
        </w:rPr>
      </w:pPr>
    </w:p>
    <w:p w14:paraId="69DC0C8C" w14:textId="77777777" w:rsidR="006975A0" w:rsidRDefault="006975A0" w:rsidP="006975A0">
      <w:pPr>
        <w:pStyle w:val="Sinespaciado"/>
        <w:jc w:val="both"/>
        <w:rPr>
          <w:rFonts w:ascii="HERVALIT" w:hAnsi="HERVALIT"/>
        </w:rPr>
        <w:sectPr w:rsidR="006975A0" w:rsidSect="00705EB2">
          <w:headerReference w:type="default" r:id="rId21"/>
          <w:footerReference w:type="default" r:id="rId22"/>
          <w:pgSz w:w="12240" w:h="15840" w:code="1"/>
          <w:pgMar w:top="1440" w:right="1440" w:bottom="1440" w:left="1440" w:header="1134" w:footer="850" w:gutter="0"/>
          <w:cols w:space="708"/>
          <w:titlePg/>
          <w:docGrid w:linePitch="360"/>
        </w:sectPr>
      </w:pPr>
    </w:p>
    <w:p w14:paraId="151F1312" w14:textId="77777777" w:rsidR="006975A0" w:rsidRPr="006975A0" w:rsidRDefault="006975A0" w:rsidP="006975A0">
      <w:pPr>
        <w:pStyle w:val="Sinespaciado"/>
        <w:jc w:val="center"/>
        <w:rPr>
          <w:rFonts w:ascii="HERVALIT" w:hAnsi="HERVALIT"/>
        </w:rPr>
      </w:pPr>
      <w:r w:rsidRPr="006975A0">
        <w:rPr>
          <w:rFonts w:ascii="HERVALIT" w:hAnsi="HERVALIT"/>
        </w:rPr>
        <w:lastRenderedPageBreak/>
        <w:t>Felipe López García</w:t>
      </w:r>
    </w:p>
    <w:p w14:paraId="642B678A" w14:textId="77777777" w:rsidR="006975A0" w:rsidRPr="006975A0" w:rsidRDefault="006975A0" w:rsidP="006975A0">
      <w:pPr>
        <w:pStyle w:val="Sinespaciado"/>
        <w:jc w:val="center"/>
        <w:rPr>
          <w:rFonts w:ascii="HERVALIT" w:hAnsi="HERVALIT"/>
        </w:rPr>
      </w:pPr>
      <w:r w:rsidRPr="006975A0">
        <w:rPr>
          <w:rFonts w:ascii="HERVALIT" w:hAnsi="HERVALIT"/>
        </w:rPr>
        <w:t>Encargado de Contabilidad</w:t>
      </w:r>
    </w:p>
    <w:p w14:paraId="702FF657" w14:textId="77777777" w:rsidR="006975A0" w:rsidRPr="006975A0" w:rsidRDefault="006975A0" w:rsidP="006975A0">
      <w:pPr>
        <w:pStyle w:val="Sinespaciado"/>
        <w:jc w:val="center"/>
        <w:rPr>
          <w:rFonts w:ascii="HERVALIT" w:hAnsi="HERVALIT"/>
        </w:rPr>
      </w:pPr>
      <w:r w:rsidRPr="006975A0">
        <w:rPr>
          <w:rFonts w:ascii="HERVALIT" w:hAnsi="HERVALIT"/>
        </w:rPr>
        <w:lastRenderedPageBreak/>
        <w:t>María Mercedes Troncoso</w:t>
      </w:r>
    </w:p>
    <w:p w14:paraId="39DA3EEF" w14:textId="01BB02C0" w:rsidR="006975A0" w:rsidRDefault="006975A0" w:rsidP="002D490A">
      <w:pPr>
        <w:pStyle w:val="Sinespaciado"/>
        <w:jc w:val="center"/>
        <w:rPr>
          <w:rFonts w:ascii="HERVALIT" w:hAnsi="HERVALIT"/>
        </w:rPr>
        <w:sectPr w:rsidR="006975A0" w:rsidSect="006975A0">
          <w:type w:val="continuous"/>
          <w:pgSz w:w="12240" w:h="15840" w:code="1"/>
          <w:pgMar w:top="1440" w:right="1440" w:bottom="1440" w:left="1440" w:header="0" w:footer="0" w:gutter="0"/>
          <w:cols w:num="2" w:space="708"/>
          <w:docGrid w:linePitch="360"/>
        </w:sectPr>
      </w:pPr>
      <w:r w:rsidRPr="006975A0">
        <w:rPr>
          <w:rFonts w:ascii="HERVALIT" w:hAnsi="HERVALIT"/>
        </w:rPr>
        <w:t>Directora Financie</w:t>
      </w:r>
    </w:p>
    <w:p w14:paraId="00977B8A" w14:textId="77777777" w:rsidR="006975A0" w:rsidRPr="006975A0" w:rsidRDefault="006975A0" w:rsidP="002D490A">
      <w:pPr>
        <w:pStyle w:val="Sinespaciado"/>
        <w:jc w:val="both"/>
        <w:rPr>
          <w:rFonts w:ascii="HERVALIT" w:hAnsi="HERVALIT"/>
        </w:rPr>
      </w:pPr>
    </w:p>
    <w:sectPr w:rsidR="006975A0" w:rsidRPr="006975A0" w:rsidSect="006975A0">
      <w:type w:val="continuous"/>
      <w:pgSz w:w="12240" w:h="15840" w:code="1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A8D5D8B" w14:textId="77777777" w:rsidR="006D0697" w:rsidRDefault="006D0697" w:rsidP="001A3BD6">
      <w:pPr>
        <w:spacing w:after="0" w:line="240" w:lineRule="auto"/>
      </w:pPr>
      <w:r>
        <w:separator/>
      </w:r>
    </w:p>
  </w:endnote>
  <w:endnote w:type="continuationSeparator" w:id="0">
    <w:p w14:paraId="0E77FF70" w14:textId="77777777" w:rsidR="006D0697" w:rsidRDefault="006D0697" w:rsidP="001A3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HERVALIT">
    <w:altName w:val="Cambria"/>
    <w:panose1 w:val="00000000000000000000"/>
    <w:charset w:val="00"/>
    <w:family w:val="roman"/>
    <w:notTrueType/>
    <w:pitch w:val="default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CE444C" w14:textId="77777777" w:rsidR="00705EB2" w:rsidRDefault="00705EB2">
    <w:pPr>
      <w:pStyle w:val="Piedepgina"/>
    </w:pPr>
  </w:p>
  <w:sdt>
    <w:sdtPr>
      <w:id w:val="-708413537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896F4EC" w14:textId="7A778532" w:rsidR="00705EB2" w:rsidRDefault="00705EB2">
            <w:pPr>
              <w:pStyle w:val="Piedepgina"/>
            </w:pPr>
            <w:r>
              <w:rPr>
                <w:lang w:val="es-MX"/>
              </w:rP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DCB">
              <w:rPr>
                <w:b/>
                <w:bCs/>
                <w:noProof/>
              </w:rPr>
              <w:t>20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es-MX"/>
              </w:rP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C0DCB">
              <w:rPr>
                <w:b/>
                <w:bCs/>
                <w:noProof/>
              </w:rPr>
              <w:t>21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ABE219A" w14:textId="77777777" w:rsidR="00705EB2" w:rsidRDefault="00705EB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CA88E" w14:textId="77777777" w:rsidR="006D0697" w:rsidRDefault="006D0697" w:rsidP="001A3BD6">
      <w:pPr>
        <w:spacing w:after="0" w:line="240" w:lineRule="auto"/>
      </w:pPr>
      <w:r>
        <w:separator/>
      </w:r>
    </w:p>
  </w:footnote>
  <w:footnote w:type="continuationSeparator" w:id="0">
    <w:p w14:paraId="374F0E87" w14:textId="77777777" w:rsidR="006D0697" w:rsidRDefault="006D0697" w:rsidP="001A3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3E6F6" w14:textId="606272E1" w:rsidR="0056363F" w:rsidRDefault="0056363F">
    <w:pPr>
      <w:pStyle w:val="Encabezado"/>
      <w:rPr>
        <w:noProof/>
        <w14:ligatures w14:val="standardContextual"/>
      </w:rPr>
    </w:pPr>
    <w:r>
      <w:rPr>
        <w:noProof/>
        <w:lang w:val="es-DO" w:eastAsia="es-DO"/>
        <w14:ligatures w14:val="standardContextual"/>
      </w:rPr>
      <w:drawing>
        <wp:anchor distT="0" distB="0" distL="114300" distR="114300" simplePos="0" relativeHeight="251658240" behindDoc="1" locked="0" layoutInCell="1" allowOverlap="1" wp14:anchorId="7165561F" wp14:editId="63B4DB98">
          <wp:simplePos x="0" y="0"/>
          <wp:positionH relativeFrom="margin">
            <wp:align>left</wp:align>
          </wp:positionH>
          <wp:positionV relativeFrom="paragraph">
            <wp:posOffset>-111760</wp:posOffset>
          </wp:positionV>
          <wp:extent cx="1437005" cy="570865"/>
          <wp:effectExtent l="0" t="0" r="0" b="635"/>
          <wp:wrapTight wrapText="bothSides">
            <wp:wrapPolygon edited="0">
              <wp:start x="0" y="0"/>
              <wp:lineTo x="0" y="20903"/>
              <wp:lineTo x="21190" y="20903"/>
              <wp:lineTo x="21190" y="0"/>
              <wp:lineTo x="0" y="0"/>
            </wp:wrapPolygon>
          </wp:wrapTight>
          <wp:docPr id="1743025750" name="Imagen 1">
            <a:extLst xmlns:a="http://schemas.openxmlformats.org/drawingml/2006/main">
              <a:ext uri="{FF2B5EF4-FFF2-40B4-BE49-F238E27FC236}">
                <a16:creationId xmlns:a16="http://schemas.microsoft.com/office/drawing/2014/main" id="{791BB1DA-B19B-42CA-90C4-E0AFB639107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1">
                    <a:extLst>
                      <a:ext uri="{FF2B5EF4-FFF2-40B4-BE49-F238E27FC236}">
                        <a16:creationId xmlns:a16="http://schemas.microsoft.com/office/drawing/2014/main" id="{791BB1DA-B19B-42CA-90C4-E0AFB6391073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700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5E46CF">
      <w:rPr>
        <w:rFonts w:ascii="HERVALIT" w:hAnsi="HERVALIT"/>
        <w:sz w:val="32"/>
        <w:szCs w:val="32"/>
      </w:rPr>
      <w:t>Notas a los estados financieros</w:t>
    </w:r>
    <w:r>
      <w:rPr>
        <w:noProof/>
        <w14:ligatures w14:val="standardContextual"/>
      </w:rPr>
      <w:t xml:space="preserve"> </w:t>
    </w:r>
  </w:p>
  <w:p w14:paraId="00EDBF72" w14:textId="77777777" w:rsidR="0056363F" w:rsidRDefault="0056363F">
    <w:pPr>
      <w:pStyle w:val="Encabezado"/>
      <w:rPr>
        <w:noProof/>
        <w14:ligatures w14:val="standardContextual"/>
      </w:rPr>
    </w:pPr>
  </w:p>
  <w:p w14:paraId="1BEE09CA" w14:textId="5C346062" w:rsidR="0003287A" w:rsidRDefault="0003287A">
    <w:pPr>
      <w:pStyle w:val="Encabezado"/>
    </w:pPr>
  </w:p>
  <w:p w14:paraId="6E2C0C5A" w14:textId="77777777" w:rsidR="0056363F" w:rsidRDefault="0056363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E5D52"/>
    <w:multiLevelType w:val="hybridMultilevel"/>
    <w:tmpl w:val="FDF68332"/>
    <w:lvl w:ilvl="0" w:tplc="FFEC9F4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39B1"/>
    <w:multiLevelType w:val="hybridMultilevel"/>
    <w:tmpl w:val="20FCD60E"/>
    <w:lvl w:ilvl="0" w:tplc="1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DE114D"/>
    <w:multiLevelType w:val="hybridMultilevel"/>
    <w:tmpl w:val="DFB4AE0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C50678"/>
    <w:multiLevelType w:val="hybridMultilevel"/>
    <w:tmpl w:val="9F784C08"/>
    <w:lvl w:ilvl="0" w:tplc="1C0A0015">
      <w:start w:val="1"/>
      <w:numFmt w:val="upperLetter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D3B67"/>
    <w:multiLevelType w:val="hybridMultilevel"/>
    <w:tmpl w:val="E284869C"/>
    <w:lvl w:ilvl="0" w:tplc="1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C37122"/>
    <w:multiLevelType w:val="hybridMultilevel"/>
    <w:tmpl w:val="E7C2A776"/>
    <w:lvl w:ilvl="0" w:tplc="1A6E2D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A26422"/>
    <w:multiLevelType w:val="hybridMultilevel"/>
    <w:tmpl w:val="82E4D550"/>
    <w:lvl w:ilvl="0" w:tplc="1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C1DD0"/>
    <w:multiLevelType w:val="hybridMultilevel"/>
    <w:tmpl w:val="C780059A"/>
    <w:lvl w:ilvl="0" w:tplc="1C0A0017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82D7B"/>
    <w:multiLevelType w:val="hybridMultilevel"/>
    <w:tmpl w:val="ED509B62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F44748"/>
    <w:multiLevelType w:val="hybridMultilevel"/>
    <w:tmpl w:val="BA143B1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B75A9"/>
    <w:multiLevelType w:val="hybridMultilevel"/>
    <w:tmpl w:val="69F413E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A86DC5"/>
    <w:multiLevelType w:val="hybridMultilevel"/>
    <w:tmpl w:val="BA143B12"/>
    <w:lvl w:ilvl="0" w:tplc="1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025CBC"/>
    <w:multiLevelType w:val="hybridMultilevel"/>
    <w:tmpl w:val="BEEE5262"/>
    <w:lvl w:ilvl="0" w:tplc="1C0A000F">
      <w:start w:val="1"/>
      <w:numFmt w:val="decimal"/>
      <w:lvlText w:val="%1.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A67A69"/>
    <w:multiLevelType w:val="hybridMultilevel"/>
    <w:tmpl w:val="D4D4615E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EA548D"/>
    <w:multiLevelType w:val="hybridMultilevel"/>
    <w:tmpl w:val="C9486F0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06619A"/>
    <w:multiLevelType w:val="hybridMultilevel"/>
    <w:tmpl w:val="5CDE45F6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6D1AD6"/>
    <w:multiLevelType w:val="hybridMultilevel"/>
    <w:tmpl w:val="6AC6C03C"/>
    <w:lvl w:ilvl="0" w:tplc="1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A32235"/>
    <w:multiLevelType w:val="hybridMultilevel"/>
    <w:tmpl w:val="2A927670"/>
    <w:lvl w:ilvl="0" w:tplc="1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1C5554"/>
    <w:multiLevelType w:val="hybridMultilevel"/>
    <w:tmpl w:val="917CE5E2"/>
    <w:lvl w:ilvl="0" w:tplc="1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3"/>
  </w:num>
  <w:num w:numId="3">
    <w:abstractNumId w:val="1"/>
  </w:num>
  <w:num w:numId="4">
    <w:abstractNumId w:val="3"/>
  </w:num>
  <w:num w:numId="5">
    <w:abstractNumId w:val="0"/>
  </w:num>
  <w:num w:numId="6">
    <w:abstractNumId w:val="12"/>
  </w:num>
  <w:num w:numId="7">
    <w:abstractNumId w:val="5"/>
  </w:num>
  <w:num w:numId="8">
    <w:abstractNumId w:val="16"/>
  </w:num>
  <w:num w:numId="9">
    <w:abstractNumId w:val="15"/>
  </w:num>
  <w:num w:numId="10">
    <w:abstractNumId w:val="18"/>
  </w:num>
  <w:num w:numId="11">
    <w:abstractNumId w:val="14"/>
  </w:num>
  <w:num w:numId="12">
    <w:abstractNumId w:val="2"/>
  </w:num>
  <w:num w:numId="13">
    <w:abstractNumId w:val="6"/>
  </w:num>
  <w:num w:numId="14">
    <w:abstractNumId w:val="10"/>
  </w:num>
  <w:num w:numId="15">
    <w:abstractNumId w:val="7"/>
  </w:num>
  <w:num w:numId="16">
    <w:abstractNumId w:val="4"/>
  </w:num>
  <w:num w:numId="17">
    <w:abstractNumId w:val="8"/>
  </w:num>
  <w:num w:numId="18">
    <w:abstractNumId w:val="11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23B"/>
    <w:rsid w:val="00004497"/>
    <w:rsid w:val="00005BEA"/>
    <w:rsid w:val="00006761"/>
    <w:rsid w:val="0001128D"/>
    <w:rsid w:val="0001373C"/>
    <w:rsid w:val="00013D12"/>
    <w:rsid w:val="00021740"/>
    <w:rsid w:val="00024810"/>
    <w:rsid w:val="000324A2"/>
    <w:rsid w:val="0003287A"/>
    <w:rsid w:val="00050D4F"/>
    <w:rsid w:val="0005143B"/>
    <w:rsid w:val="00077228"/>
    <w:rsid w:val="000776AB"/>
    <w:rsid w:val="000806F7"/>
    <w:rsid w:val="00084034"/>
    <w:rsid w:val="000862C0"/>
    <w:rsid w:val="000A0DEB"/>
    <w:rsid w:val="000A64B1"/>
    <w:rsid w:val="000B2E33"/>
    <w:rsid w:val="000B68AA"/>
    <w:rsid w:val="000B707A"/>
    <w:rsid w:val="000C0DCB"/>
    <w:rsid w:val="000E301F"/>
    <w:rsid w:val="000E44A9"/>
    <w:rsid w:val="000F30D4"/>
    <w:rsid w:val="00101142"/>
    <w:rsid w:val="00102F1E"/>
    <w:rsid w:val="00105781"/>
    <w:rsid w:val="00111FCB"/>
    <w:rsid w:val="00117D4A"/>
    <w:rsid w:val="00117FDF"/>
    <w:rsid w:val="00121D44"/>
    <w:rsid w:val="00123385"/>
    <w:rsid w:val="00124FBC"/>
    <w:rsid w:val="001325E3"/>
    <w:rsid w:val="00136A38"/>
    <w:rsid w:val="00142395"/>
    <w:rsid w:val="0015603E"/>
    <w:rsid w:val="00156A5B"/>
    <w:rsid w:val="00167FD3"/>
    <w:rsid w:val="0018421C"/>
    <w:rsid w:val="0019172B"/>
    <w:rsid w:val="001917CF"/>
    <w:rsid w:val="001A00D8"/>
    <w:rsid w:val="001A186A"/>
    <w:rsid w:val="001A3BD6"/>
    <w:rsid w:val="001C467A"/>
    <w:rsid w:val="001C49F8"/>
    <w:rsid w:val="001C4B0B"/>
    <w:rsid w:val="001D62E2"/>
    <w:rsid w:val="001E2485"/>
    <w:rsid w:val="001E4432"/>
    <w:rsid w:val="001F63A0"/>
    <w:rsid w:val="002020BF"/>
    <w:rsid w:val="00231065"/>
    <w:rsid w:val="00241A15"/>
    <w:rsid w:val="0024233A"/>
    <w:rsid w:val="00242C2A"/>
    <w:rsid w:val="00253BDC"/>
    <w:rsid w:val="00261B39"/>
    <w:rsid w:val="00281816"/>
    <w:rsid w:val="00281D08"/>
    <w:rsid w:val="00296E9E"/>
    <w:rsid w:val="002B087A"/>
    <w:rsid w:val="002B3907"/>
    <w:rsid w:val="002B3B25"/>
    <w:rsid w:val="002D48DE"/>
    <w:rsid w:val="002D490A"/>
    <w:rsid w:val="002F25E0"/>
    <w:rsid w:val="002F4AEF"/>
    <w:rsid w:val="003064B5"/>
    <w:rsid w:val="0031278D"/>
    <w:rsid w:val="00340C8F"/>
    <w:rsid w:val="00344E00"/>
    <w:rsid w:val="003506AF"/>
    <w:rsid w:val="00352532"/>
    <w:rsid w:val="0035623B"/>
    <w:rsid w:val="00370842"/>
    <w:rsid w:val="00375F2E"/>
    <w:rsid w:val="00377DFA"/>
    <w:rsid w:val="0039119F"/>
    <w:rsid w:val="003927EE"/>
    <w:rsid w:val="003A093A"/>
    <w:rsid w:val="003A297B"/>
    <w:rsid w:val="003A51D8"/>
    <w:rsid w:val="003D494C"/>
    <w:rsid w:val="003D7FEE"/>
    <w:rsid w:val="003E5F55"/>
    <w:rsid w:val="003F14F8"/>
    <w:rsid w:val="003F7DC0"/>
    <w:rsid w:val="004123BD"/>
    <w:rsid w:val="00420F7A"/>
    <w:rsid w:val="0042246D"/>
    <w:rsid w:val="00430615"/>
    <w:rsid w:val="00433684"/>
    <w:rsid w:val="00435681"/>
    <w:rsid w:val="00435A00"/>
    <w:rsid w:val="00435DE5"/>
    <w:rsid w:val="004473A5"/>
    <w:rsid w:val="00447B19"/>
    <w:rsid w:val="00455136"/>
    <w:rsid w:val="00463DF3"/>
    <w:rsid w:val="00480A57"/>
    <w:rsid w:val="00495801"/>
    <w:rsid w:val="00497224"/>
    <w:rsid w:val="004A0528"/>
    <w:rsid w:val="004B3F42"/>
    <w:rsid w:val="004B4B2F"/>
    <w:rsid w:val="004B4B90"/>
    <w:rsid w:val="004D03EF"/>
    <w:rsid w:val="004D05CD"/>
    <w:rsid w:val="004D4749"/>
    <w:rsid w:val="004D4A99"/>
    <w:rsid w:val="004D59BD"/>
    <w:rsid w:val="004D6670"/>
    <w:rsid w:val="004F1AC0"/>
    <w:rsid w:val="004F37D8"/>
    <w:rsid w:val="00514025"/>
    <w:rsid w:val="00522D85"/>
    <w:rsid w:val="00526755"/>
    <w:rsid w:val="005412F4"/>
    <w:rsid w:val="00561E5F"/>
    <w:rsid w:val="0056363F"/>
    <w:rsid w:val="00564BD2"/>
    <w:rsid w:val="005810BE"/>
    <w:rsid w:val="005872AE"/>
    <w:rsid w:val="005916DB"/>
    <w:rsid w:val="005A446C"/>
    <w:rsid w:val="005A4D4B"/>
    <w:rsid w:val="005B1359"/>
    <w:rsid w:val="005B2B58"/>
    <w:rsid w:val="005B5BD2"/>
    <w:rsid w:val="005C5AB5"/>
    <w:rsid w:val="005D069B"/>
    <w:rsid w:val="005E1D14"/>
    <w:rsid w:val="005E46CF"/>
    <w:rsid w:val="005E57B8"/>
    <w:rsid w:val="005F637A"/>
    <w:rsid w:val="00605E79"/>
    <w:rsid w:val="006078C1"/>
    <w:rsid w:val="0061168E"/>
    <w:rsid w:val="006201B5"/>
    <w:rsid w:val="006214E5"/>
    <w:rsid w:val="006268A5"/>
    <w:rsid w:val="00633390"/>
    <w:rsid w:val="0063457C"/>
    <w:rsid w:val="006352F1"/>
    <w:rsid w:val="00642151"/>
    <w:rsid w:val="00654380"/>
    <w:rsid w:val="00666BFB"/>
    <w:rsid w:val="00673DA1"/>
    <w:rsid w:val="0067549D"/>
    <w:rsid w:val="0067705F"/>
    <w:rsid w:val="006975A0"/>
    <w:rsid w:val="006A6AFF"/>
    <w:rsid w:val="006A77C1"/>
    <w:rsid w:val="006D0697"/>
    <w:rsid w:val="006E2AC3"/>
    <w:rsid w:val="006E7905"/>
    <w:rsid w:val="006F2F1F"/>
    <w:rsid w:val="006F3579"/>
    <w:rsid w:val="006F73B7"/>
    <w:rsid w:val="00705EB2"/>
    <w:rsid w:val="00714216"/>
    <w:rsid w:val="007167D5"/>
    <w:rsid w:val="00730065"/>
    <w:rsid w:val="00775705"/>
    <w:rsid w:val="0078395C"/>
    <w:rsid w:val="00791B7F"/>
    <w:rsid w:val="007925C7"/>
    <w:rsid w:val="007A1426"/>
    <w:rsid w:val="007A6F4F"/>
    <w:rsid w:val="007B07D1"/>
    <w:rsid w:val="007B59D2"/>
    <w:rsid w:val="007B6E88"/>
    <w:rsid w:val="007C0972"/>
    <w:rsid w:val="007F386B"/>
    <w:rsid w:val="0080131B"/>
    <w:rsid w:val="0080183F"/>
    <w:rsid w:val="00812891"/>
    <w:rsid w:val="00820B99"/>
    <w:rsid w:val="008221B3"/>
    <w:rsid w:val="00830ABC"/>
    <w:rsid w:val="008312FB"/>
    <w:rsid w:val="00832F26"/>
    <w:rsid w:val="00854712"/>
    <w:rsid w:val="00861C4C"/>
    <w:rsid w:val="00875D36"/>
    <w:rsid w:val="00894713"/>
    <w:rsid w:val="008A34A9"/>
    <w:rsid w:val="008A4B19"/>
    <w:rsid w:val="008B101D"/>
    <w:rsid w:val="008B3BE4"/>
    <w:rsid w:val="008B5F74"/>
    <w:rsid w:val="008C1E71"/>
    <w:rsid w:val="008C37DF"/>
    <w:rsid w:val="008C3B31"/>
    <w:rsid w:val="008E5A53"/>
    <w:rsid w:val="008F6353"/>
    <w:rsid w:val="00906244"/>
    <w:rsid w:val="00913857"/>
    <w:rsid w:val="0092335B"/>
    <w:rsid w:val="009319C8"/>
    <w:rsid w:val="00933C79"/>
    <w:rsid w:val="00941639"/>
    <w:rsid w:val="009431C5"/>
    <w:rsid w:val="00943A68"/>
    <w:rsid w:val="00947DD3"/>
    <w:rsid w:val="0095373E"/>
    <w:rsid w:val="00962A6A"/>
    <w:rsid w:val="00971D68"/>
    <w:rsid w:val="0098065C"/>
    <w:rsid w:val="009878D1"/>
    <w:rsid w:val="00990503"/>
    <w:rsid w:val="009914D7"/>
    <w:rsid w:val="009931EE"/>
    <w:rsid w:val="009B4E98"/>
    <w:rsid w:val="009C3981"/>
    <w:rsid w:val="009E3930"/>
    <w:rsid w:val="009E4D23"/>
    <w:rsid w:val="009F134C"/>
    <w:rsid w:val="009F480C"/>
    <w:rsid w:val="00A0791B"/>
    <w:rsid w:val="00A1078C"/>
    <w:rsid w:val="00A2597B"/>
    <w:rsid w:val="00A31063"/>
    <w:rsid w:val="00A3278E"/>
    <w:rsid w:val="00A47565"/>
    <w:rsid w:val="00A4799B"/>
    <w:rsid w:val="00A5030D"/>
    <w:rsid w:val="00A57267"/>
    <w:rsid w:val="00A707C3"/>
    <w:rsid w:val="00A90E3C"/>
    <w:rsid w:val="00AA033E"/>
    <w:rsid w:val="00AB5AA3"/>
    <w:rsid w:val="00AC4A97"/>
    <w:rsid w:val="00AF4AF8"/>
    <w:rsid w:val="00B409DE"/>
    <w:rsid w:val="00B44D35"/>
    <w:rsid w:val="00B656EB"/>
    <w:rsid w:val="00B675FB"/>
    <w:rsid w:val="00B90B2C"/>
    <w:rsid w:val="00B90CF2"/>
    <w:rsid w:val="00BA0633"/>
    <w:rsid w:val="00BA06E9"/>
    <w:rsid w:val="00BA5A4E"/>
    <w:rsid w:val="00BB199C"/>
    <w:rsid w:val="00BC57AD"/>
    <w:rsid w:val="00C02958"/>
    <w:rsid w:val="00C21BCE"/>
    <w:rsid w:val="00C3787E"/>
    <w:rsid w:val="00C83263"/>
    <w:rsid w:val="00C8624E"/>
    <w:rsid w:val="00CA7D68"/>
    <w:rsid w:val="00CB3F05"/>
    <w:rsid w:val="00CB75C4"/>
    <w:rsid w:val="00CD1E68"/>
    <w:rsid w:val="00CD7109"/>
    <w:rsid w:val="00CF708C"/>
    <w:rsid w:val="00D010C6"/>
    <w:rsid w:val="00D23DCB"/>
    <w:rsid w:val="00D31459"/>
    <w:rsid w:val="00D354D6"/>
    <w:rsid w:val="00D36133"/>
    <w:rsid w:val="00D458FF"/>
    <w:rsid w:val="00D6057B"/>
    <w:rsid w:val="00D81961"/>
    <w:rsid w:val="00D81B75"/>
    <w:rsid w:val="00D834D8"/>
    <w:rsid w:val="00D842DD"/>
    <w:rsid w:val="00D8481D"/>
    <w:rsid w:val="00D8637B"/>
    <w:rsid w:val="00D9560A"/>
    <w:rsid w:val="00D959B7"/>
    <w:rsid w:val="00DA0747"/>
    <w:rsid w:val="00DA2910"/>
    <w:rsid w:val="00DB2A6F"/>
    <w:rsid w:val="00DC6433"/>
    <w:rsid w:val="00DC7E18"/>
    <w:rsid w:val="00DD637A"/>
    <w:rsid w:val="00DF3B89"/>
    <w:rsid w:val="00E01AF9"/>
    <w:rsid w:val="00E16F07"/>
    <w:rsid w:val="00E2081D"/>
    <w:rsid w:val="00E20D58"/>
    <w:rsid w:val="00E2151F"/>
    <w:rsid w:val="00E25E93"/>
    <w:rsid w:val="00E31CBF"/>
    <w:rsid w:val="00E34879"/>
    <w:rsid w:val="00E53121"/>
    <w:rsid w:val="00E80A29"/>
    <w:rsid w:val="00E82DFF"/>
    <w:rsid w:val="00E85388"/>
    <w:rsid w:val="00EA0045"/>
    <w:rsid w:val="00EA0D2C"/>
    <w:rsid w:val="00EA1C77"/>
    <w:rsid w:val="00EB1D41"/>
    <w:rsid w:val="00EC59DB"/>
    <w:rsid w:val="00ED477C"/>
    <w:rsid w:val="00EE3ACC"/>
    <w:rsid w:val="00EE6800"/>
    <w:rsid w:val="00EF3EDA"/>
    <w:rsid w:val="00EF47AF"/>
    <w:rsid w:val="00F02C33"/>
    <w:rsid w:val="00F05877"/>
    <w:rsid w:val="00F208F4"/>
    <w:rsid w:val="00F61AA7"/>
    <w:rsid w:val="00F67CFA"/>
    <w:rsid w:val="00F93955"/>
    <w:rsid w:val="00F9793D"/>
    <w:rsid w:val="00FA5BA7"/>
    <w:rsid w:val="00FB6A81"/>
    <w:rsid w:val="00FB7E93"/>
    <w:rsid w:val="00FC2A46"/>
    <w:rsid w:val="00FC3DA0"/>
    <w:rsid w:val="00FD20B5"/>
    <w:rsid w:val="00FD2C26"/>
    <w:rsid w:val="00FD4046"/>
    <w:rsid w:val="00FE04AE"/>
    <w:rsid w:val="00FE4D42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5BAF2"/>
  <w15:chartTrackingRefBased/>
  <w15:docId w15:val="{1FB41005-2233-4204-881A-E46E25CB7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D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1E71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3562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:lang w:val="es-DO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562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:lang w:val="es-DO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5623B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E74B5" w:themeColor="accent1" w:themeShade="BF"/>
      <w:kern w:val="2"/>
      <w:sz w:val="28"/>
      <w:szCs w:val="28"/>
      <w:lang w:val="es-DO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5623B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E74B5" w:themeColor="accent1" w:themeShade="BF"/>
      <w:kern w:val="2"/>
      <w:lang w:val="es-DO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5623B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E74B5" w:themeColor="accent1" w:themeShade="BF"/>
      <w:kern w:val="2"/>
      <w:lang w:val="es-DO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5623B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lang w:val="es-DO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5623B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:lang w:val="es-DO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5623B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lang w:val="es-DO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5623B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:lang w:val="es-DO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5623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5623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5623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5623B"/>
    <w:rPr>
      <w:rFonts w:eastAsiaTheme="majorEastAsia" w:cstheme="majorBidi"/>
      <w:i/>
      <w:iCs/>
      <w:color w:val="2E74B5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5623B"/>
    <w:rPr>
      <w:rFonts w:eastAsiaTheme="majorEastAsia" w:cstheme="majorBidi"/>
      <w:color w:val="2E74B5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5623B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5623B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5623B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5623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562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DO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3562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5623B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:lang w:val="es-DO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3562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5623B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kern w:val="2"/>
      <w:lang w:val="es-DO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35623B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5623B"/>
    <w:pPr>
      <w:spacing w:after="160" w:line="259" w:lineRule="auto"/>
      <w:ind w:left="720"/>
      <w:contextualSpacing/>
    </w:pPr>
    <w:rPr>
      <w:rFonts w:eastAsiaTheme="minorHAnsi"/>
      <w:kern w:val="2"/>
      <w:lang w:val="es-DO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35623B"/>
    <w:rPr>
      <w:i/>
      <w:iCs/>
      <w:color w:val="2E74B5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5623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2E74B5" w:themeColor="accent1" w:themeShade="BF"/>
      <w:kern w:val="2"/>
      <w:lang w:val="es-DO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5623B"/>
    <w:rPr>
      <w:i/>
      <w:iCs/>
      <w:color w:val="2E74B5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5623B"/>
    <w:rPr>
      <w:b/>
      <w:bCs/>
      <w:smallCaps/>
      <w:color w:val="2E74B5" w:themeColor="accent1" w:themeShade="BF"/>
      <w:spacing w:val="5"/>
    </w:rPr>
  </w:style>
  <w:style w:type="paragraph" w:styleId="Sinespaciado">
    <w:name w:val="No Spacing"/>
    <w:link w:val="SinespaciadoCar"/>
    <w:uiPriority w:val="1"/>
    <w:qFormat/>
    <w:rsid w:val="001325E3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1"/>
    <w:rsid w:val="00820B99"/>
  </w:style>
  <w:style w:type="paragraph" w:styleId="Encabezado">
    <w:name w:val="header"/>
    <w:basedOn w:val="Normal"/>
    <w:link w:val="EncabezadoCar"/>
    <w:uiPriority w:val="99"/>
    <w:unhideWhenUsed/>
    <w:rsid w:val="001A3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A3BD6"/>
    <w:rPr>
      <w:rFonts w:eastAsiaTheme="minorEastAsia"/>
      <w:kern w:val="0"/>
      <w:lang w:val="en-US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1A3B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A3BD6"/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20" Type="http://schemas.openxmlformats.org/officeDocument/2006/relationships/image" Target="media/image13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23" Type="http://schemas.openxmlformats.org/officeDocument/2006/relationships/fontTable" Target="fontTable.xml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CEE95-B84C-4B76-BB29-D4035239F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5496</Words>
  <Characters>30231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Lopez Garcia</dc:creator>
  <cp:keywords/>
  <dc:description/>
  <cp:lastModifiedBy>PROPIEDAD DE</cp:lastModifiedBy>
  <cp:revision>2</cp:revision>
  <cp:lastPrinted>2026-07-15T18:03:00Z</cp:lastPrinted>
  <dcterms:created xsi:type="dcterms:W3CDTF">2026-07-16T19:16:00Z</dcterms:created>
  <dcterms:modified xsi:type="dcterms:W3CDTF">2026-07-16T19:16:00Z</dcterms:modified>
</cp:coreProperties>
</file>