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65EAD" w14:textId="77777777" w:rsidR="00F94BB4" w:rsidRPr="00920B26" w:rsidRDefault="00474933" w:rsidP="0055607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pict w14:anchorId="0EC9B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08pt;margin-top:-1in;width:611.7pt;height:791.7pt;z-index:-251657216;mso-position-horizontal-relative:text;mso-position-vertical-relative:text;mso-width-relative:page;mso-height-relative:page">
            <v:imagedata r:id="rId8" o:title="PORTADA INFORME DE EJECUCCION DEL PLAN OPERATIVO 2022"/>
          </v:shape>
        </w:pict>
      </w:r>
    </w:p>
    <w:p w14:paraId="2AEAE80B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10D4B5A1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B48ADD7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3E41EE77" w14:textId="77777777" w:rsidR="00B55790" w:rsidRPr="00920B26" w:rsidRDefault="00B55790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02663183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25861FBF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257C9BDC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38741D9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59A0EFF1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0E21DD93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43E0EE5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1BCE2D67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FB08376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1B024C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1D80ABA2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6C45338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35D78FE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29B93990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1E20136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16553B6D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5ED59106" w14:textId="77777777" w:rsidR="00F94BB4" w:rsidRPr="00920B26" w:rsidRDefault="00F94BB4" w:rsidP="0055607B">
      <w:pPr>
        <w:spacing w:line="360" w:lineRule="auto"/>
        <w:jc w:val="both"/>
        <w:rPr>
          <w:rFonts w:ascii="Times New Roman" w:hAnsi="Times New Roman" w:cs="Times New Roman"/>
        </w:rPr>
      </w:pPr>
    </w:p>
    <w:p w14:paraId="42297782" w14:textId="77777777" w:rsidR="00DC2C66" w:rsidRDefault="00DC2C66"/>
    <w:p w14:paraId="4BDA9862" w14:textId="77777777" w:rsidR="00DC2C66" w:rsidRDefault="00DC2C66"/>
    <w:p w14:paraId="1C14BF7F" w14:textId="77777777" w:rsidR="002B5A06" w:rsidRPr="002B5A06" w:rsidRDefault="002B5A06" w:rsidP="002B5A06">
      <w:pPr>
        <w:spacing w:line="360" w:lineRule="auto"/>
        <w:jc w:val="center"/>
        <w:rPr>
          <w:rFonts w:cstheme="minorHAnsi"/>
          <w:b/>
          <w:color w:val="0070C0"/>
          <w:sz w:val="36"/>
          <w:szCs w:val="24"/>
        </w:rPr>
      </w:pPr>
      <w:bookmarkStart w:id="0" w:name="_Toc77776921"/>
      <w:r w:rsidRPr="00750428">
        <w:rPr>
          <w:rFonts w:cstheme="minorHAnsi"/>
          <w:b/>
          <w:color w:val="0070C0"/>
          <w:sz w:val="36"/>
          <w:szCs w:val="24"/>
        </w:rPr>
        <w:lastRenderedPageBreak/>
        <w:t>Informe</w:t>
      </w:r>
      <w:r>
        <w:rPr>
          <w:rFonts w:cstheme="minorHAnsi"/>
          <w:b/>
          <w:color w:val="0070C0"/>
          <w:sz w:val="36"/>
          <w:szCs w:val="24"/>
        </w:rPr>
        <w:t xml:space="preserve"> Trimestral de</w:t>
      </w:r>
      <w:r w:rsidRPr="00750428">
        <w:rPr>
          <w:rFonts w:cstheme="minorHAnsi"/>
          <w:b/>
          <w:color w:val="0070C0"/>
          <w:sz w:val="36"/>
          <w:szCs w:val="24"/>
        </w:rPr>
        <w:t xml:space="preserve"> Ejec</w:t>
      </w:r>
      <w:r w:rsidR="006271CF">
        <w:rPr>
          <w:rFonts w:cstheme="minorHAnsi"/>
          <w:b/>
          <w:color w:val="0070C0"/>
          <w:sz w:val="36"/>
          <w:szCs w:val="24"/>
        </w:rPr>
        <w:t>ución Plan Operativo Anual 2022</w:t>
      </w:r>
      <w:r>
        <w:rPr>
          <w:rFonts w:cstheme="minorHAnsi"/>
          <w:b/>
          <w:color w:val="0070C0"/>
          <w:sz w:val="36"/>
          <w:szCs w:val="24"/>
        </w:rPr>
        <w:t xml:space="preserve"> </w:t>
      </w:r>
      <w:r w:rsidRPr="00750428">
        <w:rPr>
          <w:rFonts w:cstheme="minorHAnsi"/>
          <w:b/>
          <w:color w:val="0070C0"/>
          <w:sz w:val="36"/>
          <w:szCs w:val="24"/>
        </w:rPr>
        <w:t>Dirección General de Bienes Nacionales</w:t>
      </w:r>
    </w:p>
    <w:p w14:paraId="63032115" w14:textId="77777777" w:rsidR="00DC2C66" w:rsidRPr="00A40356" w:rsidRDefault="00DC2C66" w:rsidP="00DC2C66">
      <w:pPr>
        <w:pStyle w:val="Ttulo1"/>
        <w:numPr>
          <w:ilvl w:val="0"/>
          <w:numId w:val="7"/>
        </w:numPr>
        <w:spacing w:line="360" w:lineRule="auto"/>
        <w:jc w:val="center"/>
        <w:rPr>
          <w:b/>
          <w:bCs/>
        </w:rPr>
      </w:pPr>
      <w:r w:rsidRPr="00A40356">
        <w:rPr>
          <w:b/>
          <w:bCs/>
        </w:rPr>
        <w:t>RESUMEN EJECUTIVO</w:t>
      </w:r>
      <w:bookmarkEnd w:id="0"/>
    </w:p>
    <w:p w14:paraId="0A191A71" w14:textId="77777777" w:rsidR="00DC2C66" w:rsidRPr="00BC69F1" w:rsidRDefault="00DC2C66" w:rsidP="00DC2C66">
      <w:pPr>
        <w:jc w:val="center"/>
        <w:rPr>
          <w:rFonts w:ascii="Times New Roman" w:hAnsi="Times New Roman"/>
          <w:color w:val="767171"/>
        </w:rPr>
      </w:pPr>
      <w:r w:rsidRPr="006F0C62">
        <w:rPr>
          <w:rFonts w:ascii="Times New Roman" w:hAnsi="Times New Roman"/>
          <w:noProof/>
          <w:color w:val="767171"/>
          <w:lang w:eastAsia="es-D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D21291" wp14:editId="751F445A">
                <wp:simplePos x="0" y="0"/>
                <wp:positionH relativeFrom="margin">
                  <wp:posOffset>2402205</wp:posOffset>
                </wp:positionH>
                <wp:positionV relativeFrom="paragraph">
                  <wp:posOffset>15875</wp:posOffset>
                </wp:positionV>
                <wp:extent cx="463550" cy="0"/>
                <wp:effectExtent l="20955" t="22860" r="20320" b="15240"/>
                <wp:wrapNone/>
                <wp:docPr id="7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0"/>
                        </a:xfrm>
                        <a:prstGeom prst="line">
                          <a:avLst/>
                        </a:prstGeom>
                        <a:noFill/>
                        <a:ln w="28575" algn="ctr">
                          <a:solidFill>
                            <a:srgbClr val="EE2A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F6AF58C" id="Conector rec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89.15pt,1.25pt" to="225.6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" strokecolor="#ee2a24" strokeweight="2.25pt">
                <v:stroke joinstyle="miter"/>
                <w10:wrap anchorx="margin"/>
              </v:line>
            </w:pict>
          </mc:Fallback>
        </mc:AlternateContent>
      </w:r>
    </w:p>
    <w:p w14:paraId="0018258A" w14:textId="2DE6A316" w:rsidR="00DC2C66" w:rsidRPr="00BC69F1" w:rsidRDefault="00DC2C66" w:rsidP="00DC2C66">
      <w:pPr>
        <w:jc w:val="center"/>
        <w:rPr>
          <w:rFonts w:ascii="Times New Roman" w:hAnsi="Times New Roman"/>
          <w:color w:val="767171"/>
          <w:spacing w:val="20"/>
          <w:sz w:val="24"/>
          <w:szCs w:val="36"/>
        </w:rPr>
      </w:pPr>
      <w:r w:rsidRPr="00BC69F1">
        <w:rPr>
          <w:rFonts w:ascii="Times New Roman" w:hAnsi="Times New Roman"/>
          <w:color w:val="767171"/>
          <w:spacing w:val="20"/>
          <w:sz w:val="24"/>
          <w:szCs w:val="36"/>
        </w:rPr>
        <w:t xml:space="preserve">Informe </w:t>
      </w:r>
      <w:r>
        <w:rPr>
          <w:rFonts w:ascii="Times New Roman" w:hAnsi="Times New Roman"/>
          <w:color w:val="767171"/>
          <w:spacing w:val="20"/>
          <w:sz w:val="24"/>
          <w:szCs w:val="36"/>
        </w:rPr>
        <w:t xml:space="preserve">Trimestral </w:t>
      </w:r>
      <w:r w:rsidR="00764D19">
        <w:rPr>
          <w:rFonts w:ascii="Times New Roman" w:hAnsi="Times New Roman"/>
          <w:color w:val="767171"/>
          <w:spacing w:val="20"/>
          <w:sz w:val="24"/>
          <w:szCs w:val="36"/>
        </w:rPr>
        <w:t>octubre - diciembre</w:t>
      </w:r>
      <w:r w:rsidR="006271CF">
        <w:rPr>
          <w:rFonts w:ascii="Times New Roman" w:hAnsi="Times New Roman"/>
          <w:color w:val="767171"/>
          <w:spacing w:val="20"/>
          <w:sz w:val="24"/>
          <w:szCs w:val="36"/>
        </w:rPr>
        <w:t xml:space="preserve"> 2022</w:t>
      </w:r>
    </w:p>
    <w:p w14:paraId="3964D35C" w14:textId="77777777" w:rsidR="00DC2C66" w:rsidRPr="00BC69F1" w:rsidRDefault="00DC2C66" w:rsidP="00DC2C66">
      <w:pPr>
        <w:spacing w:line="360" w:lineRule="auto"/>
        <w:rPr>
          <w:rFonts w:ascii="Times New Roman" w:hAnsi="Times New Roman"/>
          <w:color w:val="767171"/>
          <w:spacing w:val="20"/>
          <w:sz w:val="16"/>
        </w:rPr>
      </w:pPr>
    </w:p>
    <w:p w14:paraId="6C0D3B0D" w14:textId="77777777" w:rsidR="00DC2C66" w:rsidRDefault="00DC2C66" w:rsidP="007455EE">
      <w:pPr>
        <w:pStyle w:val="Textonotasalpie"/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La Dirección General de Bienes Nacionales, como institución rectora de las políticas públicas que rigen la salvaguarda del Patrimonio del Estado a través de la </w:t>
      </w:r>
      <w:proofErr w:type="spellStart"/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>eficientización</w:t>
      </w:r>
      <w:proofErr w:type="spellEnd"/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del uso de los bienes está trabajando arduamente en el crecimiento y desarrollo de esta con el fin de </w:t>
      </w:r>
      <w:r w:rsidR="006271CF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mejorar la calidad de los </w:t>
      </w: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>servicio</w:t>
      </w:r>
      <w:r w:rsidR="006271CF">
        <w:rPr>
          <w:rFonts w:ascii="Times New Roman" w:hAnsi="Times New Roman"/>
          <w:color w:val="767171" w:themeColor="background2" w:themeShade="80"/>
          <w:sz w:val="24"/>
          <w:szCs w:val="24"/>
        </w:rPr>
        <w:t>s brindados por la misma</w:t>
      </w: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>, teniendo como meta la satisfacción de los ciudadanos y la contribución al crecimiento del país a través de la r</w:t>
      </w:r>
      <w:r w:rsidR="006271CF">
        <w:rPr>
          <w:rFonts w:ascii="Times New Roman" w:hAnsi="Times New Roman"/>
          <w:color w:val="767171" w:themeColor="background2" w:themeShade="80"/>
          <w:sz w:val="24"/>
          <w:szCs w:val="24"/>
        </w:rPr>
        <w:t>educción de los gastos públicos y una administración eficiente de los bienes del Estado Dominicano.</w:t>
      </w:r>
      <w:r w:rsidRPr="00B16EA8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</w:t>
      </w:r>
    </w:p>
    <w:p w14:paraId="529F45E7" w14:textId="04D4664D" w:rsidR="00587AD0" w:rsidRPr="00B16EA8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  <w:r w:rsidRPr="00587AD0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La Dirección General de Bienes Nacionales se ha enfocado arduamente a dar seguimiento y monitoreo de cada una de las actividades establecidas en el Plan Operativo Anual 2022 donde hasta la fecha a nivel general la institución </w:t>
      </w:r>
      <w:r w:rsidR="00764D19">
        <w:rPr>
          <w:rFonts w:ascii="Times New Roman" w:hAnsi="Times New Roman"/>
          <w:color w:val="767171" w:themeColor="background2" w:themeShade="80"/>
          <w:sz w:val="24"/>
          <w:szCs w:val="24"/>
        </w:rPr>
        <w:t>logró</w:t>
      </w:r>
      <w:r w:rsidRPr="00587AD0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el cumplimiento del </w:t>
      </w:r>
      <w:r w:rsidR="00764D19">
        <w:rPr>
          <w:rFonts w:ascii="Times New Roman" w:hAnsi="Times New Roman"/>
          <w:color w:val="767171" w:themeColor="background2" w:themeShade="80"/>
          <w:sz w:val="24"/>
          <w:szCs w:val="24"/>
        </w:rPr>
        <w:t>63.06</w:t>
      </w:r>
      <w:r w:rsidRPr="00587AD0">
        <w:rPr>
          <w:rFonts w:ascii="Times New Roman" w:hAnsi="Times New Roman"/>
          <w:color w:val="767171" w:themeColor="background2" w:themeShade="80"/>
          <w:sz w:val="24"/>
          <w:szCs w:val="24"/>
        </w:rPr>
        <w:t>% del total establecido en el mismo</w:t>
      </w:r>
      <w:r w:rsidR="00764D19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, el cual fue de </w:t>
      </w:r>
      <w:r w:rsidRPr="00587AD0">
        <w:rPr>
          <w:rFonts w:ascii="Times New Roman" w:hAnsi="Times New Roman"/>
          <w:color w:val="767171" w:themeColor="background2" w:themeShade="80"/>
          <w:sz w:val="24"/>
          <w:szCs w:val="24"/>
        </w:rPr>
        <w:t>100% y con esto seguir avanzando al cumplimiento de las metas instituciones establecidas en nuestro Plan Estratégico Institucional 2020 – 2024 siempre alineado a nuestra misión y en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miras de lograr nuestra visión.</w:t>
      </w:r>
    </w:p>
    <w:p w14:paraId="43498336" w14:textId="77777777" w:rsidR="00DC2C66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El </w:t>
      </w:r>
      <w:r w:rsidR="00DC2C66" w:rsidRPr="00711D14">
        <w:rPr>
          <w:rFonts w:ascii="Times New Roman" w:hAnsi="Times New Roman"/>
          <w:color w:val="767171"/>
          <w:sz w:val="24"/>
          <w:szCs w:val="24"/>
        </w:rPr>
        <w:t>presente informe busca detallar los avances y los log</w:t>
      </w:r>
      <w:r w:rsidR="006271CF">
        <w:rPr>
          <w:rFonts w:ascii="Times New Roman" w:hAnsi="Times New Roman"/>
          <w:color w:val="767171"/>
          <w:sz w:val="24"/>
          <w:szCs w:val="24"/>
        </w:rPr>
        <w:t xml:space="preserve">ros de las principales acciones y productos establecidos en el Plan Operativo Anual 2022 </w:t>
      </w:r>
      <w:r>
        <w:rPr>
          <w:rFonts w:ascii="Times New Roman" w:hAnsi="Times New Roman"/>
          <w:color w:val="767171"/>
          <w:sz w:val="24"/>
          <w:szCs w:val="24"/>
        </w:rPr>
        <w:t xml:space="preserve">por áreas o departamentos </w:t>
      </w:r>
      <w:r w:rsidR="00DC2C66" w:rsidRPr="00711D14">
        <w:rPr>
          <w:rFonts w:ascii="Times New Roman" w:hAnsi="Times New Roman"/>
          <w:color w:val="767171"/>
          <w:sz w:val="24"/>
          <w:szCs w:val="24"/>
        </w:rPr>
        <w:t xml:space="preserve">realizadas por la institución, las cuales fueron la siguiente: </w:t>
      </w:r>
    </w:p>
    <w:p w14:paraId="66EB8B48" w14:textId="5B01DF11" w:rsidR="00A83BA5" w:rsidRDefault="00587AD0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>A través de la</w:t>
      </w:r>
      <w:r w:rsidR="00A83BA5">
        <w:rPr>
          <w:rFonts w:ascii="Times New Roman" w:hAnsi="Times New Roman"/>
          <w:color w:val="767171"/>
          <w:sz w:val="24"/>
          <w:szCs w:val="24"/>
        </w:rPr>
        <w:t xml:space="preserve"> Dirección Administrativa han realizado en un 100%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9E1BB1">
        <w:rPr>
          <w:rFonts w:ascii="Times New Roman" w:hAnsi="Times New Roman"/>
          <w:color w:val="767171"/>
          <w:sz w:val="24"/>
          <w:szCs w:val="24"/>
        </w:rPr>
        <w:t xml:space="preserve">la elaboración de políticas y </w:t>
      </w:r>
      <w:r w:rsidR="00E40021">
        <w:rPr>
          <w:rFonts w:ascii="Times New Roman" w:hAnsi="Times New Roman"/>
          <w:color w:val="767171"/>
          <w:sz w:val="24"/>
          <w:szCs w:val="24"/>
        </w:rPr>
        <w:t>procedimientos</w:t>
      </w:r>
      <w:r w:rsidR="009E1BB1">
        <w:rPr>
          <w:rFonts w:ascii="Times New Roman" w:hAnsi="Times New Roman"/>
          <w:color w:val="767171"/>
          <w:sz w:val="24"/>
          <w:szCs w:val="24"/>
        </w:rPr>
        <w:t xml:space="preserve"> para el mantenimiento de los vehículos y así incrementar el bienestar y la satisfacción de los colaboradores en el uso de los </w:t>
      </w:r>
      <w:r w:rsidR="009E1BB1">
        <w:rPr>
          <w:rFonts w:ascii="Times New Roman" w:hAnsi="Times New Roman"/>
          <w:color w:val="767171"/>
          <w:sz w:val="24"/>
          <w:szCs w:val="24"/>
        </w:rPr>
        <w:lastRenderedPageBreak/>
        <w:t>vehículos de la institución</w:t>
      </w:r>
      <w:r w:rsidR="00A83BA5">
        <w:rPr>
          <w:rFonts w:ascii="Times New Roman" w:hAnsi="Times New Roman"/>
          <w:color w:val="767171"/>
          <w:sz w:val="24"/>
          <w:szCs w:val="24"/>
        </w:rPr>
        <w:t xml:space="preserve">. </w:t>
      </w:r>
      <w:r w:rsidR="009E1BB1">
        <w:rPr>
          <w:rFonts w:ascii="Times New Roman" w:hAnsi="Times New Roman"/>
          <w:color w:val="767171"/>
          <w:sz w:val="24"/>
          <w:szCs w:val="24"/>
        </w:rPr>
        <w:t xml:space="preserve">Se ha diseñado en un 100% el Sistema de Correspondencia Automatizado y está en </w:t>
      </w:r>
      <w:r w:rsidR="000031B7">
        <w:rPr>
          <w:rFonts w:ascii="Times New Roman" w:hAnsi="Times New Roman"/>
          <w:color w:val="767171"/>
          <w:sz w:val="24"/>
          <w:szCs w:val="24"/>
        </w:rPr>
        <w:t>proceso</w:t>
      </w:r>
      <w:r w:rsidR="009E1BB1">
        <w:rPr>
          <w:rFonts w:ascii="Times New Roman" w:hAnsi="Times New Roman"/>
          <w:color w:val="767171"/>
          <w:sz w:val="24"/>
          <w:szCs w:val="24"/>
        </w:rPr>
        <w:t xml:space="preserve"> de implementación.</w:t>
      </w:r>
      <w:r w:rsidR="000031B7">
        <w:rPr>
          <w:rFonts w:ascii="Times New Roman" w:hAnsi="Times New Roman"/>
          <w:color w:val="767171"/>
          <w:sz w:val="24"/>
          <w:szCs w:val="24"/>
        </w:rPr>
        <w:t xml:space="preserve"> </w:t>
      </w:r>
      <w:proofErr w:type="spellStart"/>
      <w:r w:rsidR="000031B7">
        <w:rPr>
          <w:rFonts w:ascii="Times New Roman" w:hAnsi="Times New Roman"/>
          <w:color w:val="767171"/>
          <w:sz w:val="24"/>
          <w:szCs w:val="24"/>
        </w:rPr>
        <w:t>Esta</w:t>
      </w:r>
      <w:proofErr w:type="spellEnd"/>
      <w:r w:rsidR="000031B7">
        <w:rPr>
          <w:rFonts w:ascii="Times New Roman" w:hAnsi="Times New Roman"/>
          <w:color w:val="767171"/>
          <w:sz w:val="24"/>
          <w:szCs w:val="24"/>
        </w:rPr>
        <w:t xml:space="preserve"> en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 un 80%</w:t>
      </w:r>
      <w:r w:rsidR="000031B7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E40021">
        <w:rPr>
          <w:rFonts w:ascii="Times New Roman" w:hAnsi="Times New Roman"/>
          <w:color w:val="767171"/>
          <w:sz w:val="24"/>
          <w:szCs w:val="24"/>
        </w:rPr>
        <w:t>la</w:t>
      </w:r>
      <w:r w:rsidR="000031B7">
        <w:rPr>
          <w:rFonts w:ascii="Times New Roman" w:hAnsi="Times New Roman"/>
          <w:color w:val="767171"/>
          <w:sz w:val="24"/>
          <w:szCs w:val="24"/>
        </w:rPr>
        <w:t xml:space="preserve"> elaboración el plan de mantenimiento preventivo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 con el fin de evitar las fallas y mantener la estructura y los equipos en buen estado de uso. Se crearon formularios de verificación, cumplimiento e inspección de la limpieza realizada por el personal de mayordomía. </w:t>
      </w:r>
      <w:r w:rsidR="00A15264">
        <w:rPr>
          <w:rFonts w:ascii="Times New Roman" w:hAnsi="Times New Roman"/>
          <w:color w:val="767171"/>
          <w:sz w:val="24"/>
          <w:szCs w:val="24"/>
        </w:rPr>
        <w:t xml:space="preserve">En otro orden, el departamento de compras y contrataciones ha elaborado en un </w:t>
      </w:r>
      <w:r w:rsidR="009E1BB1">
        <w:rPr>
          <w:rFonts w:ascii="Times New Roman" w:hAnsi="Times New Roman"/>
          <w:color w:val="767171"/>
          <w:sz w:val="24"/>
          <w:szCs w:val="24"/>
        </w:rPr>
        <w:t>100</w:t>
      </w:r>
      <w:r w:rsidR="00A15264">
        <w:rPr>
          <w:rFonts w:ascii="Times New Roman" w:hAnsi="Times New Roman"/>
          <w:color w:val="767171"/>
          <w:sz w:val="24"/>
          <w:szCs w:val="24"/>
        </w:rPr>
        <w:t>% las políticas de responsabilidad ambiental para los oferentes</w:t>
      </w:r>
      <w:r w:rsidR="009E1BB1">
        <w:rPr>
          <w:rFonts w:ascii="Times New Roman" w:hAnsi="Times New Roman"/>
          <w:color w:val="767171"/>
          <w:sz w:val="24"/>
          <w:szCs w:val="24"/>
        </w:rPr>
        <w:t xml:space="preserve"> y </w:t>
      </w:r>
      <w:r w:rsidR="006807EE">
        <w:rPr>
          <w:rFonts w:ascii="Times New Roman" w:hAnsi="Times New Roman"/>
          <w:color w:val="767171"/>
          <w:sz w:val="24"/>
          <w:szCs w:val="24"/>
        </w:rPr>
        <w:t xml:space="preserve">se obtuvo 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para el 2do trimestre </w:t>
      </w:r>
      <w:r w:rsidR="006807EE">
        <w:rPr>
          <w:rFonts w:ascii="Times New Roman" w:hAnsi="Times New Roman"/>
          <w:color w:val="767171"/>
          <w:sz w:val="24"/>
          <w:szCs w:val="24"/>
        </w:rPr>
        <w:t>una puntuación de 100% en el cumplimiento de la Ley 340-06 de Compras y Contrataciones Públicas</w:t>
      </w:r>
      <w:r w:rsidR="00E40021">
        <w:rPr>
          <w:rFonts w:ascii="Times New Roman" w:hAnsi="Times New Roman"/>
          <w:color w:val="767171"/>
          <w:sz w:val="24"/>
          <w:szCs w:val="24"/>
        </w:rPr>
        <w:t>, la puntuación del 3er trimestre todavía se está a la espera por parte de la Dirección General de Compras y Contrataciones Públicas</w:t>
      </w:r>
      <w:r w:rsidR="00A15264">
        <w:rPr>
          <w:rFonts w:ascii="Times New Roman" w:hAnsi="Times New Roman"/>
          <w:color w:val="767171"/>
          <w:sz w:val="24"/>
          <w:szCs w:val="24"/>
        </w:rPr>
        <w:t xml:space="preserve">. La Dirección Administrativa con estos avances ha logrado alcanzar un total de </w:t>
      </w:r>
      <w:r w:rsidR="00764D19">
        <w:rPr>
          <w:rFonts w:ascii="Times New Roman" w:hAnsi="Times New Roman"/>
          <w:color w:val="767171"/>
          <w:sz w:val="24"/>
          <w:szCs w:val="24"/>
        </w:rPr>
        <w:t>52.78</w:t>
      </w:r>
      <w:r w:rsidR="00A15264">
        <w:rPr>
          <w:rFonts w:ascii="Times New Roman" w:hAnsi="Times New Roman"/>
          <w:color w:val="767171"/>
          <w:sz w:val="24"/>
          <w:szCs w:val="24"/>
        </w:rPr>
        <w:t>% del 100% de sus productos establecidos en el POA 2022.</w:t>
      </w:r>
    </w:p>
    <w:p w14:paraId="754B4875" w14:textId="685618C0" w:rsidR="00A15264" w:rsidRDefault="00A15264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Dirección de Coordinación de Oficinas Provinciales ha entregado </w:t>
      </w:r>
      <w:r w:rsidR="00764D19">
        <w:rPr>
          <w:rFonts w:ascii="Times New Roman" w:hAnsi="Times New Roman"/>
          <w:color w:val="767171"/>
          <w:sz w:val="24"/>
          <w:szCs w:val="24"/>
        </w:rPr>
        <w:t xml:space="preserve">doce </w:t>
      </w:r>
      <w:r w:rsidR="00381AC3">
        <w:rPr>
          <w:rFonts w:ascii="Times New Roman" w:hAnsi="Times New Roman"/>
          <w:color w:val="767171"/>
          <w:sz w:val="24"/>
          <w:szCs w:val="24"/>
        </w:rPr>
        <w:t>(</w:t>
      </w:r>
      <w:r w:rsidR="00764D19">
        <w:rPr>
          <w:rFonts w:ascii="Times New Roman" w:hAnsi="Times New Roman"/>
          <w:color w:val="767171"/>
          <w:sz w:val="24"/>
          <w:szCs w:val="24"/>
        </w:rPr>
        <w:t>12</w:t>
      </w:r>
      <w:r w:rsidR="00381AC3">
        <w:rPr>
          <w:rFonts w:ascii="Times New Roman" w:hAnsi="Times New Roman"/>
          <w:color w:val="767171"/>
          <w:sz w:val="24"/>
          <w:szCs w:val="24"/>
        </w:rPr>
        <w:t>)</w:t>
      </w:r>
      <w:r>
        <w:rPr>
          <w:rFonts w:ascii="Times New Roman" w:hAnsi="Times New Roman"/>
          <w:color w:val="767171"/>
          <w:sz w:val="24"/>
          <w:szCs w:val="24"/>
        </w:rPr>
        <w:t xml:space="preserve"> informes de trabajos de los </w:t>
      </w:r>
      <w:r w:rsidR="00381AC3">
        <w:rPr>
          <w:rFonts w:ascii="Times New Roman" w:hAnsi="Times New Roman"/>
          <w:color w:val="767171"/>
          <w:sz w:val="24"/>
          <w:szCs w:val="24"/>
        </w:rPr>
        <w:t>doce (1</w:t>
      </w:r>
      <w:r>
        <w:rPr>
          <w:rFonts w:ascii="Times New Roman" w:hAnsi="Times New Roman"/>
          <w:color w:val="767171"/>
          <w:sz w:val="24"/>
          <w:szCs w:val="24"/>
        </w:rPr>
        <w:t>2</w:t>
      </w:r>
      <w:r w:rsidR="00381AC3">
        <w:rPr>
          <w:rFonts w:ascii="Times New Roman" w:hAnsi="Times New Roman"/>
          <w:color w:val="767171"/>
          <w:sz w:val="24"/>
          <w:szCs w:val="24"/>
        </w:rPr>
        <w:t>)</w:t>
      </w:r>
      <w:r>
        <w:rPr>
          <w:rFonts w:ascii="Times New Roman" w:hAnsi="Times New Roman"/>
          <w:color w:val="767171"/>
          <w:sz w:val="24"/>
          <w:szCs w:val="24"/>
        </w:rPr>
        <w:t xml:space="preserve"> establecidos en su POA, </w:t>
      </w:r>
      <w:r w:rsidR="00764D19">
        <w:rPr>
          <w:rFonts w:ascii="Times New Roman" w:hAnsi="Times New Roman"/>
          <w:color w:val="767171"/>
          <w:sz w:val="24"/>
          <w:szCs w:val="24"/>
        </w:rPr>
        <w:t>doce</w:t>
      </w:r>
      <w:r w:rsidR="006807EE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381AC3">
        <w:rPr>
          <w:rFonts w:ascii="Times New Roman" w:hAnsi="Times New Roman"/>
          <w:color w:val="767171"/>
          <w:sz w:val="24"/>
          <w:szCs w:val="24"/>
        </w:rPr>
        <w:t>(</w:t>
      </w:r>
      <w:r w:rsidR="00764D19">
        <w:rPr>
          <w:rFonts w:ascii="Times New Roman" w:hAnsi="Times New Roman"/>
          <w:color w:val="767171"/>
          <w:sz w:val="24"/>
          <w:szCs w:val="24"/>
        </w:rPr>
        <w:t>12</w:t>
      </w:r>
      <w:r w:rsidR="00381AC3">
        <w:rPr>
          <w:rFonts w:ascii="Times New Roman" w:hAnsi="Times New Roman"/>
          <w:color w:val="767171"/>
          <w:sz w:val="24"/>
          <w:szCs w:val="24"/>
        </w:rPr>
        <w:t>)</w:t>
      </w:r>
      <w:r>
        <w:rPr>
          <w:rFonts w:ascii="Times New Roman" w:hAnsi="Times New Roman"/>
          <w:color w:val="767171"/>
          <w:sz w:val="24"/>
          <w:szCs w:val="24"/>
        </w:rPr>
        <w:t xml:space="preserve"> reportes de cobros, ha realizado la adecuación 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y equipamiento </w:t>
      </w:r>
      <w:r>
        <w:rPr>
          <w:rFonts w:ascii="Times New Roman" w:hAnsi="Times New Roman"/>
          <w:color w:val="767171"/>
          <w:sz w:val="24"/>
          <w:szCs w:val="24"/>
        </w:rPr>
        <w:t xml:space="preserve">de la infraestructura de </w:t>
      </w:r>
      <w:r w:rsidR="00E40021">
        <w:rPr>
          <w:rFonts w:ascii="Times New Roman" w:hAnsi="Times New Roman"/>
          <w:color w:val="767171"/>
          <w:sz w:val="24"/>
          <w:szCs w:val="24"/>
        </w:rPr>
        <w:t>varias</w:t>
      </w:r>
      <w:r>
        <w:rPr>
          <w:rFonts w:ascii="Times New Roman" w:hAnsi="Times New Roman"/>
          <w:color w:val="767171"/>
          <w:sz w:val="24"/>
          <w:szCs w:val="24"/>
        </w:rPr>
        <w:t xml:space="preserve"> oficina</w:t>
      </w:r>
      <w:r w:rsidR="00E40021">
        <w:rPr>
          <w:rFonts w:ascii="Times New Roman" w:hAnsi="Times New Roman"/>
          <w:color w:val="767171"/>
          <w:sz w:val="24"/>
          <w:szCs w:val="24"/>
        </w:rPr>
        <w:t>s</w:t>
      </w:r>
      <w:r>
        <w:rPr>
          <w:rFonts w:ascii="Times New Roman" w:hAnsi="Times New Roman"/>
          <w:color w:val="767171"/>
          <w:sz w:val="24"/>
          <w:szCs w:val="24"/>
        </w:rPr>
        <w:t xml:space="preserve"> provincial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es </w:t>
      </w:r>
      <w:r w:rsidR="004A3554">
        <w:rPr>
          <w:rFonts w:ascii="Times New Roman" w:hAnsi="Times New Roman"/>
          <w:color w:val="767171"/>
          <w:sz w:val="24"/>
          <w:szCs w:val="24"/>
        </w:rPr>
        <w:t>obteniendo</w:t>
      </w:r>
      <w:r>
        <w:rPr>
          <w:rFonts w:ascii="Times New Roman" w:hAnsi="Times New Roman"/>
          <w:color w:val="767171"/>
          <w:sz w:val="24"/>
          <w:szCs w:val="24"/>
        </w:rPr>
        <w:t xml:space="preserve"> con esto un avance total de </w:t>
      </w:r>
      <w:r w:rsidR="00764D19">
        <w:rPr>
          <w:rFonts w:ascii="Times New Roman" w:hAnsi="Times New Roman"/>
          <w:color w:val="767171"/>
          <w:sz w:val="24"/>
          <w:szCs w:val="24"/>
        </w:rPr>
        <w:t>100</w:t>
      </w:r>
      <w:r>
        <w:rPr>
          <w:rFonts w:ascii="Times New Roman" w:hAnsi="Times New Roman"/>
          <w:color w:val="767171"/>
          <w:sz w:val="24"/>
          <w:szCs w:val="24"/>
        </w:rPr>
        <w:t xml:space="preserve">% que </w:t>
      </w:r>
      <w:r w:rsidR="00764D19">
        <w:rPr>
          <w:rFonts w:ascii="Times New Roman" w:hAnsi="Times New Roman"/>
          <w:color w:val="767171"/>
          <w:sz w:val="24"/>
          <w:szCs w:val="24"/>
        </w:rPr>
        <w:t xml:space="preserve">tenían </w:t>
      </w:r>
      <w:r>
        <w:rPr>
          <w:rFonts w:ascii="Times New Roman" w:hAnsi="Times New Roman"/>
          <w:color w:val="767171"/>
          <w:sz w:val="24"/>
          <w:szCs w:val="24"/>
        </w:rPr>
        <w:t>planificado para e</w:t>
      </w:r>
      <w:r w:rsidR="00764D19">
        <w:rPr>
          <w:rFonts w:ascii="Times New Roman" w:hAnsi="Times New Roman"/>
          <w:color w:val="767171"/>
          <w:sz w:val="24"/>
          <w:szCs w:val="24"/>
        </w:rPr>
        <w:t>l</w:t>
      </w:r>
      <w:r>
        <w:rPr>
          <w:rFonts w:ascii="Times New Roman" w:hAnsi="Times New Roman"/>
          <w:color w:val="767171"/>
          <w:sz w:val="24"/>
          <w:szCs w:val="24"/>
        </w:rPr>
        <w:t xml:space="preserve"> 2022.</w:t>
      </w:r>
    </w:p>
    <w:p w14:paraId="6427A1A5" w14:textId="0D0D00F1" w:rsidR="00351E36" w:rsidRDefault="00381AC3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institución a través de la Dirección Técnica y sus dependencias han podido entregar </w:t>
      </w:r>
      <w:r w:rsidR="00764D19">
        <w:rPr>
          <w:rFonts w:ascii="Times New Roman" w:hAnsi="Times New Roman"/>
          <w:color w:val="767171"/>
          <w:sz w:val="24"/>
          <w:szCs w:val="24"/>
        </w:rPr>
        <w:t>seiscientos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764D19">
        <w:rPr>
          <w:rFonts w:ascii="Times New Roman" w:hAnsi="Times New Roman"/>
          <w:color w:val="767171"/>
          <w:sz w:val="24"/>
          <w:szCs w:val="24"/>
        </w:rPr>
        <w:t>600</w:t>
      </w:r>
      <w:r>
        <w:rPr>
          <w:rFonts w:ascii="Times New Roman" w:hAnsi="Times New Roman"/>
          <w:color w:val="767171"/>
          <w:sz w:val="24"/>
          <w:szCs w:val="24"/>
        </w:rPr>
        <w:t>) informes técnicos</w:t>
      </w:r>
      <w:r w:rsidR="00E40021">
        <w:rPr>
          <w:rFonts w:ascii="Times New Roman" w:hAnsi="Times New Roman"/>
          <w:color w:val="767171"/>
          <w:sz w:val="24"/>
          <w:szCs w:val="24"/>
        </w:rPr>
        <w:t xml:space="preserve"> generales</w:t>
      </w:r>
      <w:r>
        <w:rPr>
          <w:rFonts w:ascii="Times New Roman" w:hAnsi="Times New Roman"/>
          <w:color w:val="767171"/>
          <w:sz w:val="24"/>
          <w:szCs w:val="24"/>
        </w:rPr>
        <w:t xml:space="preserve">, </w:t>
      </w:r>
      <w:r w:rsidR="00764D19">
        <w:rPr>
          <w:rFonts w:ascii="Times New Roman" w:hAnsi="Times New Roman"/>
          <w:color w:val="767171"/>
          <w:sz w:val="24"/>
          <w:szCs w:val="24"/>
        </w:rPr>
        <w:t>setecientos noventa (790) planos con determinaciones de área</w:t>
      </w:r>
      <w:r>
        <w:rPr>
          <w:rFonts w:ascii="Times New Roman" w:hAnsi="Times New Roman"/>
          <w:color w:val="767171"/>
          <w:sz w:val="24"/>
          <w:szCs w:val="24"/>
        </w:rPr>
        <w:t>s</w:t>
      </w:r>
      <w:r w:rsidR="00764D19">
        <w:rPr>
          <w:rFonts w:ascii="Times New Roman" w:hAnsi="Times New Roman"/>
          <w:color w:val="767171"/>
          <w:sz w:val="24"/>
          <w:szCs w:val="24"/>
        </w:rPr>
        <w:t xml:space="preserve"> de solares</w:t>
      </w:r>
      <w:r>
        <w:rPr>
          <w:rFonts w:ascii="Times New Roman" w:hAnsi="Times New Roman"/>
          <w:color w:val="767171"/>
          <w:sz w:val="24"/>
          <w:szCs w:val="24"/>
        </w:rPr>
        <w:t>,</w:t>
      </w:r>
      <w:r w:rsidR="00013F3B">
        <w:rPr>
          <w:rFonts w:ascii="Times New Roman" w:hAnsi="Times New Roman"/>
          <w:color w:val="767171"/>
          <w:sz w:val="24"/>
          <w:szCs w:val="24"/>
        </w:rPr>
        <w:t xml:space="preserve"> mil novecientos veint</w:t>
      </w:r>
      <w:r w:rsidR="00764D19">
        <w:rPr>
          <w:rFonts w:ascii="Times New Roman" w:hAnsi="Times New Roman"/>
          <w:color w:val="767171"/>
          <w:sz w:val="24"/>
          <w:szCs w:val="24"/>
        </w:rPr>
        <w:t>inueve</w:t>
      </w:r>
      <w:r w:rsidR="00013F3B">
        <w:rPr>
          <w:rFonts w:ascii="Times New Roman" w:hAnsi="Times New Roman"/>
          <w:color w:val="767171"/>
          <w:sz w:val="24"/>
          <w:szCs w:val="24"/>
        </w:rPr>
        <w:t xml:space="preserve"> (192</w:t>
      </w:r>
      <w:r w:rsidR="00764D19">
        <w:rPr>
          <w:rFonts w:ascii="Times New Roman" w:hAnsi="Times New Roman"/>
          <w:color w:val="767171"/>
          <w:sz w:val="24"/>
          <w:szCs w:val="24"/>
        </w:rPr>
        <w:t>9</w:t>
      </w:r>
      <w:r w:rsidR="00013F3B">
        <w:rPr>
          <w:rFonts w:ascii="Times New Roman" w:hAnsi="Times New Roman"/>
          <w:color w:val="767171"/>
          <w:sz w:val="24"/>
          <w:szCs w:val="24"/>
        </w:rPr>
        <w:t>) determinaciones para el Plan de Titulación,</w:t>
      </w:r>
      <w:r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013F3B">
        <w:rPr>
          <w:rFonts w:ascii="Times New Roman" w:hAnsi="Times New Roman"/>
          <w:color w:val="767171"/>
          <w:sz w:val="24"/>
          <w:szCs w:val="24"/>
        </w:rPr>
        <w:t>ciento cincuenta y ocho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13F3B">
        <w:rPr>
          <w:rFonts w:ascii="Times New Roman" w:hAnsi="Times New Roman"/>
          <w:color w:val="767171"/>
          <w:sz w:val="24"/>
          <w:szCs w:val="24"/>
        </w:rPr>
        <w:t>158</w:t>
      </w:r>
      <w:r>
        <w:rPr>
          <w:rFonts w:ascii="Times New Roman" w:hAnsi="Times New Roman"/>
          <w:color w:val="767171"/>
          <w:sz w:val="24"/>
          <w:szCs w:val="24"/>
        </w:rPr>
        <w:t xml:space="preserve">) determinaciones de área de edificaciones en proyectos habitacionales y locales comerciales, </w:t>
      </w:r>
      <w:r w:rsidR="00FF10C9">
        <w:rPr>
          <w:rFonts w:ascii="Times New Roman" w:hAnsi="Times New Roman"/>
          <w:color w:val="767171"/>
          <w:sz w:val="24"/>
          <w:szCs w:val="24"/>
        </w:rPr>
        <w:t>ciento dieciocho (118)</w:t>
      </w:r>
      <w:r>
        <w:rPr>
          <w:rFonts w:ascii="Times New Roman" w:hAnsi="Times New Roman"/>
          <w:color w:val="767171"/>
          <w:sz w:val="24"/>
          <w:szCs w:val="24"/>
        </w:rPr>
        <w:t xml:space="preserve"> informes de determinaciones de área, </w:t>
      </w:r>
      <w:r w:rsidR="00FF10C9">
        <w:rPr>
          <w:rFonts w:ascii="Times New Roman" w:hAnsi="Times New Roman"/>
          <w:color w:val="767171"/>
          <w:sz w:val="24"/>
          <w:szCs w:val="24"/>
        </w:rPr>
        <w:t>trescientos sesenta (360)</w:t>
      </w:r>
      <w:r>
        <w:rPr>
          <w:rFonts w:ascii="Times New Roman" w:hAnsi="Times New Roman"/>
          <w:color w:val="767171"/>
          <w:sz w:val="24"/>
          <w:szCs w:val="24"/>
        </w:rPr>
        <w:t xml:space="preserve"> informes de determinación de ubicación catastral, </w:t>
      </w:r>
      <w:r w:rsidR="00013F3B">
        <w:rPr>
          <w:rFonts w:ascii="Times New Roman" w:hAnsi="Times New Roman"/>
          <w:color w:val="767171"/>
          <w:sz w:val="24"/>
          <w:szCs w:val="24"/>
        </w:rPr>
        <w:t>setenta y ocho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13F3B">
        <w:rPr>
          <w:rFonts w:ascii="Times New Roman" w:hAnsi="Times New Roman"/>
          <w:color w:val="767171"/>
          <w:sz w:val="24"/>
          <w:szCs w:val="24"/>
        </w:rPr>
        <w:t>78</w:t>
      </w:r>
      <w:r>
        <w:rPr>
          <w:rFonts w:ascii="Times New Roman" w:hAnsi="Times New Roman"/>
          <w:color w:val="767171"/>
          <w:sz w:val="24"/>
          <w:szCs w:val="24"/>
        </w:rPr>
        <w:t>) informes de inspección para solucionar conflictos en los inmuebles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, se entregaron </w:t>
      </w:r>
      <w:r w:rsidR="00013F3B">
        <w:rPr>
          <w:rFonts w:ascii="Times New Roman" w:hAnsi="Times New Roman"/>
          <w:color w:val="767171"/>
          <w:sz w:val="24"/>
          <w:szCs w:val="24"/>
        </w:rPr>
        <w:t>ciento nov</w:t>
      </w:r>
      <w:r w:rsidR="00351E36">
        <w:rPr>
          <w:rFonts w:ascii="Times New Roman" w:hAnsi="Times New Roman"/>
          <w:color w:val="767171"/>
          <w:sz w:val="24"/>
          <w:szCs w:val="24"/>
        </w:rPr>
        <w:t>e</w:t>
      </w:r>
      <w:r w:rsidR="00013F3B">
        <w:rPr>
          <w:rFonts w:ascii="Times New Roman" w:hAnsi="Times New Roman"/>
          <w:color w:val="767171"/>
          <w:sz w:val="24"/>
          <w:szCs w:val="24"/>
        </w:rPr>
        <w:t>nta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13F3B">
        <w:rPr>
          <w:rFonts w:ascii="Times New Roman" w:hAnsi="Times New Roman"/>
          <w:color w:val="767171"/>
          <w:sz w:val="24"/>
          <w:szCs w:val="24"/>
        </w:rPr>
        <w:t>190</w:t>
      </w:r>
      <w:r w:rsidR="00351E36">
        <w:rPr>
          <w:rFonts w:ascii="Times New Roman" w:hAnsi="Times New Roman"/>
          <w:color w:val="767171"/>
          <w:sz w:val="24"/>
          <w:szCs w:val="24"/>
        </w:rPr>
        <w:t>) copias de certificaciones, expedientes y planos catastrales, se realiz</w:t>
      </w:r>
      <w:r w:rsidR="00013F3B">
        <w:rPr>
          <w:rFonts w:ascii="Times New Roman" w:hAnsi="Times New Roman"/>
          <w:color w:val="767171"/>
          <w:sz w:val="24"/>
          <w:szCs w:val="24"/>
        </w:rPr>
        <w:t>aron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013F3B">
        <w:rPr>
          <w:rFonts w:ascii="Times New Roman" w:hAnsi="Times New Roman"/>
          <w:color w:val="767171"/>
          <w:sz w:val="24"/>
          <w:szCs w:val="24"/>
        </w:rPr>
        <w:t>cuarenta y cuatro (44)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informe</w:t>
      </w:r>
      <w:r w:rsidR="00E47DFC">
        <w:rPr>
          <w:rFonts w:ascii="Times New Roman" w:hAnsi="Times New Roman"/>
          <w:color w:val="767171"/>
          <w:sz w:val="24"/>
          <w:szCs w:val="24"/>
        </w:rPr>
        <w:t>s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de investigación sobre el </w:t>
      </w:r>
      <w:r w:rsidR="00351E36">
        <w:rPr>
          <w:rFonts w:ascii="Times New Roman" w:hAnsi="Times New Roman"/>
          <w:color w:val="767171"/>
          <w:sz w:val="24"/>
          <w:szCs w:val="24"/>
        </w:rPr>
        <w:lastRenderedPageBreak/>
        <w:t>estado de un bien inmueble</w:t>
      </w:r>
      <w:r w:rsidR="00E47DFC">
        <w:rPr>
          <w:rFonts w:ascii="Times New Roman" w:hAnsi="Times New Roman"/>
          <w:color w:val="767171"/>
          <w:sz w:val="24"/>
          <w:szCs w:val="24"/>
        </w:rPr>
        <w:t xml:space="preserve"> y recuperados dos (2) terrenos del Estado Dominicano,</w:t>
      </w:r>
      <w:r w:rsidR="00351E36">
        <w:rPr>
          <w:rFonts w:ascii="Times New Roman" w:hAnsi="Times New Roman"/>
          <w:color w:val="767171"/>
          <w:sz w:val="24"/>
          <w:szCs w:val="24"/>
        </w:rPr>
        <w:t xml:space="preserve"> obteniendo un total de ejecución de </w:t>
      </w:r>
      <w:r w:rsidR="00FF10C9">
        <w:rPr>
          <w:rFonts w:ascii="Times New Roman" w:hAnsi="Times New Roman"/>
          <w:color w:val="767171"/>
          <w:sz w:val="24"/>
          <w:szCs w:val="24"/>
        </w:rPr>
        <w:t>26.10</w:t>
      </w:r>
      <w:r w:rsidR="00351E36">
        <w:rPr>
          <w:rFonts w:ascii="Times New Roman" w:hAnsi="Times New Roman"/>
          <w:color w:val="767171"/>
          <w:sz w:val="24"/>
          <w:szCs w:val="24"/>
        </w:rPr>
        <w:t>% de lo establecido por esta Dirección.</w:t>
      </w:r>
    </w:p>
    <w:p w14:paraId="5F711B92" w14:textId="4FBFD09B" w:rsidR="00A15264" w:rsidRDefault="00351E36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En la Dirección de Inventario ciento </w:t>
      </w:r>
      <w:r w:rsidR="00E47DFC">
        <w:rPr>
          <w:rFonts w:ascii="Times New Roman" w:hAnsi="Times New Roman"/>
          <w:color w:val="767171"/>
          <w:sz w:val="24"/>
          <w:szCs w:val="24"/>
        </w:rPr>
        <w:t>sesenta y tres</w:t>
      </w:r>
      <w:r>
        <w:rPr>
          <w:rFonts w:ascii="Times New Roman" w:hAnsi="Times New Roman"/>
          <w:color w:val="767171"/>
          <w:sz w:val="24"/>
          <w:szCs w:val="24"/>
        </w:rPr>
        <w:t xml:space="preserve"> (1</w:t>
      </w:r>
      <w:r w:rsidR="00E47DFC">
        <w:rPr>
          <w:rFonts w:ascii="Times New Roman" w:hAnsi="Times New Roman"/>
          <w:color w:val="767171"/>
          <w:sz w:val="24"/>
          <w:szCs w:val="24"/>
        </w:rPr>
        <w:t>63</w:t>
      </w:r>
      <w:r>
        <w:rPr>
          <w:rFonts w:ascii="Times New Roman" w:hAnsi="Times New Roman"/>
          <w:color w:val="767171"/>
          <w:sz w:val="24"/>
          <w:szCs w:val="24"/>
        </w:rPr>
        <w:t xml:space="preserve">) instituciones remitieron sus inventarios de bienes muebles y </w:t>
      </w:r>
      <w:r w:rsidR="00E47DFC">
        <w:rPr>
          <w:rFonts w:ascii="Times New Roman" w:hAnsi="Times New Roman"/>
          <w:color w:val="767171"/>
          <w:sz w:val="24"/>
          <w:szCs w:val="24"/>
        </w:rPr>
        <w:t>cincuenta y dos</w:t>
      </w:r>
      <w:r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E47DFC">
        <w:rPr>
          <w:rFonts w:ascii="Times New Roman" w:hAnsi="Times New Roman"/>
          <w:color w:val="767171"/>
          <w:sz w:val="24"/>
          <w:szCs w:val="24"/>
        </w:rPr>
        <w:t>52</w:t>
      </w:r>
      <w:r>
        <w:rPr>
          <w:rFonts w:ascii="Times New Roman" w:hAnsi="Times New Roman"/>
          <w:color w:val="767171"/>
          <w:sz w:val="24"/>
          <w:szCs w:val="24"/>
        </w:rPr>
        <w:t xml:space="preserve">) de bienes inmuebles, en ese mismo orden treinta y una (31) instituciones autónomas no financieras remitieron sus inventarios. En otro orden, se trabajaron </w:t>
      </w:r>
      <w:r w:rsidR="00FF10C9">
        <w:rPr>
          <w:rFonts w:ascii="Times New Roman" w:hAnsi="Times New Roman"/>
          <w:color w:val="767171"/>
          <w:sz w:val="24"/>
          <w:szCs w:val="24"/>
        </w:rPr>
        <w:t>treinta y nueve (39)</w:t>
      </w:r>
      <w:r>
        <w:rPr>
          <w:rFonts w:ascii="Times New Roman" w:hAnsi="Times New Roman"/>
          <w:color w:val="767171"/>
          <w:sz w:val="24"/>
          <w:szCs w:val="24"/>
        </w:rPr>
        <w:t xml:space="preserve"> solicitudes departamentales de movimientos de activos y de vehículo</w:t>
      </w:r>
      <w:r w:rsidR="00E47DFC">
        <w:rPr>
          <w:rFonts w:ascii="Times New Roman" w:hAnsi="Times New Roman"/>
          <w:color w:val="767171"/>
          <w:sz w:val="24"/>
          <w:szCs w:val="24"/>
        </w:rPr>
        <w:t>s.</w:t>
      </w:r>
      <w:r w:rsidR="002677C0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470039">
        <w:rPr>
          <w:rFonts w:ascii="Times New Roman" w:hAnsi="Times New Roman"/>
          <w:color w:val="767171"/>
          <w:sz w:val="24"/>
          <w:szCs w:val="24"/>
        </w:rPr>
        <w:t>Se actualiz</w:t>
      </w:r>
      <w:r w:rsidR="000F5DFF">
        <w:rPr>
          <w:rFonts w:ascii="Times New Roman" w:hAnsi="Times New Roman"/>
          <w:color w:val="767171"/>
          <w:sz w:val="24"/>
          <w:szCs w:val="24"/>
        </w:rPr>
        <w:t>ó</w:t>
      </w:r>
      <w:r w:rsidR="00470039">
        <w:rPr>
          <w:rFonts w:ascii="Times New Roman" w:hAnsi="Times New Roman"/>
          <w:color w:val="767171"/>
          <w:sz w:val="24"/>
          <w:szCs w:val="24"/>
        </w:rPr>
        <w:t xml:space="preserve"> en un </w:t>
      </w:r>
      <w:r w:rsidR="00FF10C9">
        <w:rPr>
          <w:rFonts w:ascii="Times New Roman" w:hAnsi="Times New Roman"/>
          <w:color w:val="767171"/>
          <w:sz w:val="24"/>
          <w:szCs w:val="24"/>
        </w:rPr>
        <w:t>64%</w:t>
      </w:r>
      <w:r w:rsidR="00470039">
        <w:rPr>
          <w:rFonts w:ascii="Times New Roman" w:hAnsi="Times New Roman"/>
          <w:color w:val="767171"/>
          <w:sz w:val="24"/>
          <w:szCs w:val="24"/>
        </w:rPr>
        <w:t xml:space="preserve"> el manual de políticas y procedimientos de la Dirección. Se adecu</w:t>
      </w:r>
      <w:r w:rsidR="000F5DFF">
        <w:rPr>
          <w:rFonts w:ascii="Times New Roman" w:hAnsi="Times New Roman"/>
          <w:color w:val="767171"/>
          <w:sz w:val="24"/>
          <w:szCs w:val="24"/>
        </w:rPr>
        <w:t>ó</w:t>
      </w:r>
      <w:r w:rsidR="00470039">
        <w:rPr>
          <w:rFonts w:ascii="Times New Roman" w:hAnsi="Times New Roman"/>
          <w:color w:val="767171"/>
          <w:sz w:val="24"/>
          <w:szCs w:val="24"/>
        </w:rPr>
        <w:t xml:space="preserve"> y acondicio</w:t>
      </w:r>
      <w:r w:rsidR="000F5DFF">
        <w:rPr>
          <w:rFonts w:ascii="Times New Roman" w:hAnsi="Times New Roman"/>
          <w:color w:val="767171"/>
          <w:sz w:val="24"/>
          <w:szCs w:val="24"/>
        </w:rPr>
        <w:t>nó</w:t>
      </w:r>
      <w:r w:rsidR="00470039">
        <w:rPr>
          <w:rFonts w:ascii="Times New Roman" w:hAnsi="Times New Roman"/>
          <w:color w:val="767171"/>
          <w:sz w:val="24"/>
          <w:szCs w:val="24"/>
        </w:rPr>
        <w:t xml:space="preserve"> en un 100% el depósito de bienes muebles y vehículos. Se integr</w:t>
      </w:r>
      <w:r w:rsidR="000F5DFF">
        <w:rPr>
          <w:rFonts w:ascii="Times New Roman" w:hAnsi="Times New Roman"/>
          <w:color w:val="767171"/>
          <w:sz w:val="24"/>
          <w:szCs w:val="24"/>
        </w:rPr>
        <w:t>ó</w:t>
      </w:r>
      <w:r w:rsidR="00470039">
        <w:rPr>
          <w:rFonts w:ascii="Times New Roman" w:hAnsi="Times New Roman"/>
          <w:color w:val="767171"/>
          <w:sz w:val="24"/>
          <w:szCs w:val="24"/>
        </w:rPr>
        <w:t xml:space="preserve"> la institución al sistema de Microsoft Dynamics en un 100%, entre otros. </w:t>
      </w:r>
      <w:r w:rsidR="002677C0">
        <w:rPr>
          <w:rFonts w:ascii="Times New Roman" w:hAnsi="Times New Roman"/>
          <w:color w:val="767171"/>
          <w:sz w:val="24"/>
          <w:szCs w:val="24"/>
        </w:rPr>
        <w:t xml:space="preserve">La Dirección de inventario para este trimestre ha logrado un avance total significativo obteniendo un </w:t>
      </w:r>
      <w:r w:rsidR="00FF10C9">
        <w:rPr>
          <w:rFonts w:ascii="Times New Roman" w:hAnsi="Times New Roman"/>
          <w:color w:val="767171"/>
          <w:sz w:val="24"/>
          <w:szCs w:val="24"/>
        </w:rPr>
        <w:t>62.96</w:t>
      </w:r>
      <w:r w:rsidR="002677C0">
        <w:rPr>
          <w:rFonts w:ascii="Times New Roman" w:hAnsi="Times New Roman"/>
          <w:color w:val="767171"/>
          <w:sz w:val="24"/>
          <w:szCs w:val="24"/>
        </w:rPr>
        <w:t xml:space="preserve">% de </w:t>
      </w:r>
      <w:r w:rsidR="00A7775C">
        <w:rPr>
          <w:rFonts w:ascii="Times New Roman" w:hAnsi="Times New Roman"/>
          <w:color w:val="767171"/>
          <w:sz w:val="24"/>
          <w:szCs w:val="24"/>
        </w:rPr>
        <w:t>su POA 2022.</w:t>
      </w:r>
    </w:p>
    <w:p w14:paraId="113B87B5" w14:textId="7C6F0742" w:rsidR="00A7775C" w:rsidRDefault="00A7775C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En el Departamento de Recursos humanos a través del Programa de Adiestramiento en Administración, Preservación y Reparación de Bienes se han recuperados </w:t>
      </w:r>
      <w:r w:rsidR="00FF10C9">
        <w:rPr>
          <w:rFonts w:ascii="Times New Roman" w:hAnsi="Times New Roman"/>
          <w:color w:val="767171"/>
          <w:sz w:val="24"/>
          <w:szCs w:val="24"/>
        </w:rPr>
        <w:t>ciento seis (106)</w:t>
      </w:r>
      <w:r>
        <w:rPr>
          <w:rFonts w:ascii="Times New Roman" w:hAnsi="Times New Roman"/>
          <w:color w:val="767171"/>
          <w:sz w:val="24"/>
          <w:szCs w:val="24"/>
        </w:rPr>
        <w:t xml:space="preserve"> mobiliarios</w:t>
      </w:r>
      <w:r w:rsidR="000C6033">
        <w:rPr>
          <w:rFonts w:ascii="Times New Roman" w:hAnsi="Times New Roman"/>
          <w:color w:val="767171"/>
          <w:sz w:val="24"/>
          <w:szCs w:val="24"/>
        </w:rPr>
        <w:t xml:space="preserve"> y beneficiado con la capacitación a treinta y un (31) estudiantes de INFOTEP</w:t>
      </w:r>
      <w:r>
        <w:rPr>
          <w:rFonts w:ascii="Times New Roman" w:hAnsi="Times New Roman"/>
          <w:color w:val="767171"/>
          <w:sz w:val="24"/>
          <w:szCs w:val="24"/>
        </w:rPr>
        <w:t xml:space="preserve">. Por 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otro </w:t>
      </w:r>
      <w:r w:rsidR="000C6033">
        <w:rPr>
          <w:rFonts w:ascii="Times New Roman" w:hAnsi="Times New Roman"/>
          <w:color w:val="767171"/>
          <w:sz w:val="24"/>
          <w:szCs w:val="24"/>
        </w:rPr>
        <w:t>lado,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 se han realizado </w:t>
      </w:r>
      <w:r w:rsidR="000C6033">
        <w:rPr>
          <w:rFonts w:ascii="Times New Roman" w:hAnsi="Times New Roman"/>
          <w:color w:val="767171"/>
          <w:sz w:val="24"/>
          <w:szCs w:val="24"/>
        </w:rPr>
        <w:t>tres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C6033">
        <w:rPr>
          <w:rFonts w:ascii="Times New Roman" w:hAnsi="Times New Roman"/>
          <w:color w:val="767171"/>
          <w:sz w:val="24"/>
          <w:szCs w:val="24"/>
        </w:rPr>
        <w:t>3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) actividades de integración orientada a la misión, visión y valores de la institución, </w:t>
      </w:r>
      <w:r w:rsidR="000C6033">
        <w:rPr>
          <w:rFonts w:ascii="Times New Roman" w:hAnsi="Times New Roman"/>
          <w:color w:val="767171"/>
          <w:sz w:val="24"/>
          <w:szCs w:val="24"/>
        </w:rPr>
        <w:t>tres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0C6033">
        <w:rPr>
          <w:rFonts w:ascii="Times New Roman" w:hAnsi="Times New Roman"/>
          <w:color w:val="767171"/>
          <w:sz w:val="24"/>
          <w:szCs w:val="24"/>
        </w:rPr>
        <w:t>3</w:t>
      </w:r>
      <w:r w:rsidR="006A0CE3">
        <w:rPr>
          <w:rFonts w:ascii="Times New Roman" w:hAnsi="Times New Roman"/>
          <w:color w:val="767171"/>
          <w:sz w:val="24"/>
          <w:szCs w:val="24"/>
        </w:rPr>
        <w:t>) charla de salud ocupacional, una (1) jornada de salud ocupacional,</w:t>
      </w:r>
      <w:r w:rsidR="00CF344A">
        <w:rPr>
          <w:rFonts w:ascii="Times New Roman" w:hAnsi="Times New Roman"/>
          <w:color w:val="767171"/>
          <w:sz w:val="24"/>
          <w:szCs w:val="24"/>
        </w:rPr>
        <w:t xml:space="preserve"> un (1) taller de humanización y cuidado, tres (3) inducciones a la administración pública,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FF10C9">
        <w:rPr>
          <w:rFonts w:ascii="Times New Roman" w:hAnsi="Times New Roman"/>
          <w:color w:val="767171"/>
          <w:sz w:val="24"/>
          <w:szCs w:val="24"/>
        </w:rPr>
        <w:t xml:space="preserve">veintinueve (29) 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capacitaciones de los recursos humanos, obteniendo con esto un avance total de un </w:t>
      </w:r>
      <w:r w:rsidR="00FF10C9">
        <w:rPr>
          <w:rFonts w:ascii="Times New Roman" w:hAnsi="Times New Roman"/>
          <w:color w:val="767171"/>
          <w:sz w:val="24"/>
          <w:szCs w:val="24"/>
        </w:rPr>
        <w:t>90</w:t>
      </w:r>
      <w:r w:rsidR="006A0CE3">
        <w:rPr>
          <w:rFonts w:ascii="Times New Roman" w:hAnsi="Times New Roman"/>
          <w:color w:val="767171"/>
          <w:sz w:val="24"/>
          <w:szCs w:val="24"/>
        </w:rPr>
        <w:t xml:space="preserve">% de lo establecido. </w:t>
      </w:r>
    </w:p>
    <w:p w14:paraId="33D1F229" w14:textId="4A0E7EE3" w:rsidR="006A0CE3" w:rsidRDefault="006A0CE3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Dirección Legal y sus dependencias han trabajado </w:t>
      </w:r>
      <w:r w:rsidR="00FF10C9">
        <w:rPr>
          <w:rFonts w:ascii="Times New Roman" w:hAnsi="Times New Roman"/>
          <w:color w:val="767171"/>
          <w:sz w:val="24"/>
          <w:szCs w:val="24"/>
        </w:rPr>
        <w:t>doscientos veinte ocho (228)</w:t>
      </w:r>
      <w:r>
        <w:rPr>
          <w:rFonts w:ascii="Times New Roman" w:hAnsi="Times New Roman"/>
          <w:color w:val="767171"/>
          <w:sz w:val="24"/>
          <w:szCs w:val="24"/>
        </w:rPr>
        <w:t xml:space="preserve"> certificaciones de No Objeción a Deslinde, </w:t>
      </w:r>
      <w:r w:rsidR="000C6033">
        <w:rPr>
          <w:rFonts w:ascii="Times New Roman" w:hAnsi="Times New Roman"/>
          <w:color w:val="767171"/>
          <w:sz w:val="24"/>
          <w:szCs w:val="24"/>
        </w:rPr>
        <w:t xml:space="preserve">se han realizado </w:t>
      </w:r>
      <w:r w:rsidR="00770C8F">
        <w:rPr>
          <w:rFonts w:ascii="Times New Roman" w:hAnsi="Times New Roman"/>
          <w:color w:val="767171"/>
          <w:sz w:val="24"/>
          <w:szCs w:val="24"/>
        </w:rPr>
        <w:t>cinco (5)</w:t>
      </w:r>
      <w:r w:rsidR="000C6033">
        <w:rPr>
          <w:rFonts w:ascii="Times New Roman" w:hAnsi="Times New Roman"/>
          <w:color w:val="767171"/>
          <w:sz w:val="24"/>
          <w:szCs w:val="24"/>
        </w:rPr>
        <w:t xml:space="preserve"> transferencia</w:t>
      </w:r>
      <w:r w:rsidR="00770C8F">
        <w:rPr>
          <w:rFonts w:ascii="Times New Roman" w:hAnsi="Times New Roman"/>
          <w:color w:val="767171"/>
          <w:sz w:val="24"/>
          <w:szCs w:val="24"/>
        </w:rPr>
        <w:t>s</w:t>
      </w:r>
      <w:r w:rsidR="000C6033">
        <w:rPr>
          <w:rFonts w:ascii="Times New Roman" w:hAnsi="Times New Roman"/>
          <w:color w:val="767171"/>
          <w:sz w:val="24"/>
          <w:szCs w:val="24"/>
        </w:rPr>
        <w:t xml:space="preserve"> de títulos 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de propiedad </w:t>
      </w:r>
      <w:r w:rsidR="00770C8F" w:rsidRPr="00770C8F">
        <w:rPr>
          <w:rFonts w:ascii="Times New Roman" w:hAnsi="Times New Roman"/>
          <w:color w:val="767171"/>
          <w:sz w:val="24"/>
          <w:szCs w:val="24"/>
        </w:rPr>
        <w:t>de inmuebles adquiridos con el Estado a través de compras a particulares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, 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se han entregado </w:t>
      </w:r>
      <w:r w:rsidR="00FF10C9">
        <w:rPr>
          <w:rFonts w:ascii="Times New Roman" w:hAnsi="Times New Roman"/>
          <w:color w:val="767171"/>
          <w:sz w:val="24"/>
          <w:szCs w:val="24"/>
        </w:rPr>
        <w:t>seiscientos cincuenta y cuatro (654)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Estatus Jurídicos, </w:t>
      </w:r>
      <w:r w:rsidR="00FF10C9">
        <w:rPr>
          <w:rFonts w:ascii="Times New Roman" w:hAnsi="Times New Roman"/>
          <w:color w:val="767171"/>
          <w:sz w:val="24"/>
          <w:szCs w:val="24"/>
        </w:rPr>
        <w:t>sesenta y tres (63)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depósitos de títulos, 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se han solicitado </w:t>
      </w:r>
      <w:r w:rsidR="00FF10C9">
        <w:rPr>
          <w:rFonts w:ascii="Times New Roman" w:hAnsi="Times New Roman"/>
          <w:color w:val="767171"/>
          <w:sz w:val="24"/>
          <w:szCs w:val="24"/>
        </w:rPr>
        <w:t>treinta y dos (32)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 avalúos y determinaciones de áreas, </w:t>
      </w:r>
      <w:r w:rsidR="00FF10C9">
        <w:rPr>
          <w:rFonts w:ascii="Times New Roman" w:hAnsi="Times New Roman"/>
          <w:color w:val="767171"/>
          <w:sz w:val="24"/>
          <w:szCs w:val="24"/>
        </w:rPr>
        <w:t>treinta y cinco (35)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 declaraciones de perdida de títulos, </w:t>
      </w:r>
      <w:r w:rsidR="00FC55BB">
        <w:rPr>
          <w:rFonts w:ascii="Times New Roman" w:hAnsi="Times New Roman"/>
          <w:color w:val="767171"/>
          <w:sz w:val="24"/>
          <w:szCs w:val="24"/>
        </w:rPr>
        <w:t>treinta y uno (31)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 declaraciones de utilidad pública, </w:t>
      </w:r>
      <w:r w:rsidR="00FC55BB">
        <w:rPr>
          <w:rFonts w:ascii="Times New Roman" w:hAnsi="Times New Roman"/>
          <w:color w:val="767171"/>
          <w:sz w:val="24"/>
          <w:szCs w:val="24"/>
        </w:rPr>
        <w:t xml:space="preserve">ciento ochenta y </w:t>
      </w:r>
      <w:r w:rsidR="00FC55BB">
        <w:rPr>
          <w:rFonts w:ascii="Times New Roman" w:hAnsi="Times New Roman"/>
          <w:color w:val="767171"/>
          <w:sz w:val="24"/>
          <w:szCs w:val="24"/>
        </w:rPr>
        <w:lastRenderedPageBreak/>
        <w:t>cinco (185)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casos de procesos litigiosos finalizados, 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hemos entregado ochocientos veinte (820) certificaciones de No Oposición o </w:t>
      </w:r>
      <w:proofErr w:type="spellStart"/>
      <w:r w:rsidR="00770C8F">
        <w:rPr>
          <w:rFonts w:ascii="Times New Roman" w:hAnsi="Times New Roman"/>
          <w:color w:val="767171"/>
          <w:sz w:val="24"/>
          <w:szCs w:val="24"/>
        </w:rPr>
        <w:t>litis</w:t>
      </w:r>
      <w:proofErr w:type="spellEnd"/>
      <w:r w:rsidR="00770C8F">
        <w:rPr>
          <w:rFonts w:ascii="Times New Roman" w:hAnsi="Times New Roman"/>
          <w:color w:val="767171"/>
          <w:sz w:val="24"/>
          <w:szCs w:val="24"/>
        </w:rPr>
        <w:t xml:space="preserve">, se realizó </w:t>
      </w:r>
      <w:r w:rsidR="00FC55BB">
        <w:rPr>
          <w:rFonts w:ascii="Times New Roman" w:hAnsi="Times New Roman"/>
          <w:color w:val="767171"/>
          <w:sz w:val="24"/>
          <w:szCs w:val="24"/>
        </w:rPr>
        <w:t>dos (2</w:t>
      </w:r>
      <w:r w:rsidR="00770C8F">
        <w:rPr>
          <w:rFonts w:ascii="Times New Roman" w:hAnsi="Times New Roman"/>
          <w:color w:val="767171"/>
          <w:sz w:val="24"/>
          <w:szCs w:val="24"/>
        </w:rPr>
        <w:t>) subasta</w:t>
      </w:r>
      <w:r w:rsidR="00FC55BB">
        <w:rPr>
          <w:rFonts w:ascii="Times New Roman" w:hAnsi="Times New Roman"/>
          <w:color w:val="767171"/>
          <w:sz w:val="24"/>
          <w:szCs w:val="24"/>
        </w:rPr>
        <w:t>s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 pública</w:t>
      </w:r>
      <w:r w:rsidR="00FC55BB">
        <w:rPr>
          <w:rFonts w:ascii="Times New Roman" w:hAnsi="Times New Roman"/>
          <w:color w:val="767171"/>
          <w:sz w:val="24"/>
          <w:szCs w:val="24"/>
        </w:rPr>
        <w:t>s</w:t>
      </w:r>
      <w:r w:rsidR="004E0BD1">
        <w:rPr>
          <w:rFonts w:ascii="Times New Roman" w:hAnsi="Times New Roman"/>
          <w:color w:val="767171"/>
          <w:sz w:val="24"/>
          <w:szCs w:val="24"/>
        </w:rPr>
        <w:t>. En otro orden, se llevaron a cabo</w:t>
      </w:r>
      <w:r w:rsidR="00770C8F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D02465">
        <w:rPr>
          <w:rFonts w:ascii="Times New Roman" w:hAnsi="Times New Roman"/>
          <w:color w:val="767171"/>
          <w:sz w:val="24"/>
          <w:szCs w:val="24"/>
        </w:rPr>
        <w:t>sesenta y cinco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D02465">
        <w:rPr>
          <w:rFonts w:ascii="Times New Roman" w:hAnsi="Times New Roman"/>
          <w:color w:val="767171"/>
          <w:sz w:val="24"/>
          <w:szCs w:val="24"/>
        </w:rPr>
        <w:t>65</w:t>
      </w:r>
      <w:r w:rsidR="002047F5">
        <w:rPr>
          <w:rFonts w:ascii="Times New Roman" w:hAnsi="Times New Roman"/>
          <w:color w:val="767171"/>
          <w:sz w:val="24"/>
          <w:szCs w:val="24"/>
        </w:rPr>
        <w:t>) descargos, se elabor</w:t>
      </w:r>
      <w:r w:rsidR="00D02465">
        <w:rPr>
          <w:rFonts w:ascii="Times New Roman" w:hAnsi="Times New Roman"/>
          <w:color w:val="767171"/>
          <w:sz w:val="24"/>
          <w:szCs w:val="24"/>
        </w:rPr>
        <w:t>aron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D02465">
        <w:rPr>
          <w:rFonts w:ascii="Times New Roman" w:hAnsi="Times New Roman"/>
          <w:color w:val="767171"/>
          <w:sz w:val="24"/>
          <w:szCs w:val="24"/>
        </w:rPr>
        <w:t>cuatro (4)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contrato</w:t>
      </w:r>
      <w:r w:rsidR="00D02465">
        <w:rPr>
          <w:rFonts w:ascii="Times New Roman" w:hAnsi="Times New Roman"/>
          <w:color w:val="767171"/>
          <w:sz w:val="24"/>
          <w:szCs w:val="24"/>
        </w:rPr>
        <w:t>s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de apartamento y/o vivienda, </w:t>
      </w:r>
      <w:r w:rsidR="00D02465">
        <w:rPr>
          <w:rFonts w:ascii="Times New Roman" w:hAnsi="Times New Roman"/>
          <w:color w:val="767171"/>
          <w:sz w:val="24"/>
          <w:szCs w:val="24"/>
        </w:rPr>
        <w:t>diecisiete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D02465">
        <w:rPr>
          <w:rFonts w:ascii="Times New Roman" w:hAnsi="Times New Roman"/>
          <w:color w:val="767171"/>
          <w:sz w:val="24"/>
          <w:szCs w:val="24"/>
        </w:rPr>
        <w:t>17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) contratos de terrenos y </w:t>
      </w:r>
      <w:proofErr w:type="spellStart"/>
      <w:r w:rsidR="002047F5">
        <w:rPr>
          <w:rFonts w:ascii="Times New Roman" w:hAnsi="Times New Roman"/>
          <w:color w:val="767171"/>
          <w:sz w:val="24"/>
          <w:szCs w:val="24"/>
        </w:rPr>
        <w:t>adendun</w:t>
      </w:r>
      <w:proofErr w:type="spellEnd"/>
      <w:r w:rsidR="002047F5">
        <w:rPr>
          <w:rFonts w:ascii="Times New Roman" w:hAnsi="Times New Roman"/>
          <w:color w:val="767171"/>
          <w:sz w:val="24"/>
          <w:szCs w:val="24"/>
        </w:rPr>
        <w:t xml:space="preserve"> de los mismos, se obtuvieron </w:t>
      </w:r>
      <w:r w:rsidR="00D02465">
        <w:rPr>
          <w:rFonts w:ascii="Times New Roman" w:hAnsi="Times New Roman"/>
          <w:color w:val="767171"/>
          <w:sz w:val="24"/>
          <w:szCs w:val="24"/>
        </w:rPr>
        <w:t>sesenta y cuatro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D02465">
        <w:rPr>
          <w:rFonts w:ascii="Times New Roman" w:hAnsi="Times New Roman"/>
          <w:color w:val="767171"/>
          <w:sz w:val="24"/>
          <w:szCs w:val="24"/>
        </w:rPr>
        <w:t>6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4) poderes de la Presidencia, </w:t>
      </w:r>
      <w:r w:rsidR="00D02465">
        <w:rPr>
          <w:rFonts w:ascii="Times New Roman" w:hAnsi="Times New Roman"/>
          <w:color w:val="767171"/>
          <w:sz w:val="24"/>
          <w:szCs w:val="24"/>
        </w:rPr>
        <w:t>ciento cincuenta y siete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(1</w:t>
      </w:r>
      <w:r w:rsidR="00D02465">
        <w:rPr>
          <w:rFonts w:ascii="Times New Roman" w:hAnsi="Times New Roman"/>
          <w:color w:val="767171"/>
          <w:sz w:val="24"/>
          <w:szCs w:val="24"/>
        </w:rPr>
        <w:t>57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) certificaciones de propiedades y No Objeción a bienes de familia obtenidos y </w:t>
      </w:r>
      <w:r w:rsidR="00FC55BB">
        <w:rPr>
          <w:rFonts w:ascii="Times New Roman" w:hAnsi="Times New Roman"/>
          <w:color w:val="767171"/>
          <w:sz w:val="24"/>
          <w:szCs w:val="24"/>
        </w:rPr>
        <w:t>cinco mil quinientos dieciséis (5,516)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 expedientes remitidos</w:t>
      </w:r>
      <w:r w:rsidR="00D02465">
        <w:rPr>
          <w:rFonts w:ascii="Times New Roman" w:hAnsi="Times New Roman"/>
          <w:color w:val="767171"/>
          <w:sz w:val="24"/>
          <w:szCs w:val="24"/>
        </w:rPr>
        <w:t>, trescientos setenta y cinco (375) entregas de documentos certificados a ciudadanos y ciento quince (115) contratos originales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. La misma ha obtenido un avance total de </w:t>
      </w:r>
      <w:r w:rsidR="00FC55BB">
        <w:rPr>
          <w:rFonts w:ascii="Times New Roman" w:hAnsi="Times New Roman"/>
          <w:color w:val="767171"/>
          <w:sz w:val="24"/>
          <w:szCs w:val="24"/>
        </w:rPr>
        <w:t>61.23</w:t>
      </w:r>
      <w:r w:rsidR="002047F5">
        <w:rPr>
          <w:rFonts w:ascii="Times New Roman" w:hAnsi="Times New Roman"/>
          <w:color w:val="767171"/>
          <w:sz w:val="24"/>
          <w:szCs w:val="24"/>
        </w:rPr>
        <w:t xml:space="preserve">% del total planificado. </w:t>
      </w:r>
    </w:p>
    <w:p w14:paraId="1843ECB5" w14:textId="2EEF8D21" w:rsidR="002047F5" w:rsidRDefault="002047F5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La </w:t>
      </w:r>
      <w:r w:rsidR="002E5D4D">
        <w:rPr>
          <w:rFonts w:ascii="Times New Roman" w:hAnsi="Times New Roman"/>
          <w:color w:val="767171"/>
          <w:sz w:val="24"/>
          <w:szCs w:val="24"/>
        </w:rPr>
        <w:t>Dirección</w:t>
      </w:r>
      <w:r>
        <w:rPr>
          <w:rFonts w:ascii="Times New Roman" w:hAnsi="Times New Roman"/>
          <w:color w:val="767171"/>
          <w:sz w:val="24"/>
          <w:szCs w:val="24"/>
        </w:rPr>
        <w:t xml:space="preserve"> Financiera de la institución ha automatizado el </w:t>
      </w:r>
      <w:r w:rsidR="00CF344A">
        <w:rPr>
          <w:rFonts w:ascii="Times New Roman" w:hAnsi="Times New Roman"/>
          <w:color w:val="767171"/>
          <w:sz w:val="24"/>
          <w:szCs w:val="24"/>
        </w:rPr>
        <w:t>60</w:t>
      </w:r>
      <w:r>
        <w:rPr>
          <w:rFonts w:ascii="Times New Roman" w:hAnsi="Times New Roman"/>
          <w:color w:val="767171"/>
          <w:sz w:val="24"/>
          <w:szCs w:val="24"/>
        </w:rPr>
        <w:t xml:space="preserve">% de los procesos financieros realizados en la institución, ha entregado </w:t>
      </w:r>
      <w:r w:rsidR="00FC55BB">
        <w:rPr>
          <w:rFonts w:ascii="Times New Roman" w:hAnsi="Times New Roman"/>
          <w:color w:val="767171"/>
          <w:sz w:val="24"/>
          <w:szCs w:val="24"/>
        </w:rPr>
        <w:t>once (11)</w:t>
      </w:r>
      <w:r>
        <w:rPr>
          <w:rFonts w:ascii="Times New Roman" w:hAnsi="Times New Roman"/>
          <w:color w:val="767171"/>
          <w:sz w:val="24"/>
          <w:szCs w:val="24"/>
        </w:rPr>
        <w:t xml:space="preserve"> informes de ejecución presupuestaria, han entregado el </w:t>
      </w:r>
      <w:r w:rsidR="00FC55BB">
        <w:rPr>
          <w:rFonts w:ascii="Times New Roman" w:hAnsi="Times New Roman"/>
          <w:color w:val="767171"/>
          <w:sz w:val="24"/>
          <w:szCs w:val="24"/>
        </w:rPr>
        <w:t>100</w:t>
      </w:r>
      <w:r>
        <w:rPr>
          <w:rFonts w:ascii="Times New Roman" w:hAnsi="Times New Roman"/>
          <w:color w:val="767171"/>
          <w:sz w:val="24"/>
          <w:szCs w:val="24"/>
        </w:rPr>
        <w:t>% de las certificaciones</w:t>
      </w:r>
      <w:r w:rsidR="002E5D4D">
        <w:rPr>
          <w:rFonts w:ascii="Times New Roman" w:hAnsi="Times New Roman"/>
          <w:color w:val="767171"/>
          <w:sz w:val="24"/>
          <w:szCs w:val="24"/>
        </w:rPr>
        <w:t>, autorizaciones de pagos y estados</w:t>
      </w:r>
      <w:r>
        <w:rPr>
          <w:rFonts w:ascii="Times New Roman" w:hAnsi="Times New Roman"/>
          <w:color w:val="767171"/>
          <w:sz w:val="24"/>
          <w:szCs w:val="24"/>
        </w:rPr>
        <w:t xml:space="preserve"> de cuentas de clientes, 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se elaboraron </w:t>
      </w:r>
      <w:r w:rsidR="00FC55BB">
        <w:rPr>
          <w:rFonts w:ascii="Times New Roman" w:hAnsi="Times New Roman"/>
          <w:color w:val="767171"/>
          <w:sz w:val="24"/>
          <w:szCs w:val="24"/>
        </w:rPr>
        <w:t>once (11)</w:t>
      </w:r>
      <w:r w:rsidR="007455EE">
        <w:rPr>
          <w:rFonts w:ascii="Times New Roman" w:hAnsi="Times New Roman"/>
          <w:color w:val="767171"/>
          <w:sz w:val="24"/>
          <w:szCs w:val="24"/>
        </w:rPr>
        <w:t xml:space="preserve"> informes de ingresos y se han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7455EE">
        <w:rPr>
          <w:rFonts w:ascii="Times New Roman" w:hAnsi="Times New Roman"/>
          <w:color w:val="767171"/>
          <w:sz w:val="24"/>
          <w:szCs w:val="24"/>
        </w:rPr>
        <w:t>creado el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FC55BB">
        <w:rPr>
          <w:rFonts w:ascii="Times New Roman" w:hAnsi="Times New Roman"/>
          <w:color w:val="767171"/>
          <w:sz w:val="24"/>
          <w:szCs w:val="24"/>
        </w:rPr>
        <w:t>100</w:t>
      </w:r>
      <w:r w:rsidR="002E5D4D">
        <w:rPr>
          <w:rFonts w:ascii="Times New Roman" w:hAnsi="Times New Roman"/>
          <w:color w:val="767171"/>
          <w:sz w:val="24"/>
          <w:szCs w:val="24"/>
        </w:rPr>
        <w:t>% de las cuentas a cliente</w:t>
      </w:r>
      <w:r w:rsidR="000F5DFF">
        <w:rPr>
          <w:rFonts w:ascii="Times New Roman" w:hAnsi="Times New Roman"/>
          <w:color w:val="767171"/>
          <w:sz w:val="24"/>
          <w:szCs w:val="24"/>
        </w:rPr>
        <w:t xml:space="preserve"> y se realizó el anteproyecto de presupuesto institucional 2023 en un 100%,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 obteniendo un avance total de un </w:t>
      </w:r>
      <w:r w:rsidR="00FC55BB">
        <w:rPr>
          <w:rFonts w:ascii="Times New Roman" w:hAnsi="Times New Roman"/>
          <w:color w:val="767171"/>
          <w:sz w:val="24"/>
          <w:szCs w:val="24"/>
        </w:rPr>
        <w:t>60.40</w:t>
      </w:r>
      <w:r w:rsidR="002E5D4D">
        <w:rPr>
          <w:rFonts w:ascii="Times New Roman" w:hAnsi="Times New Roman"/>
          <w:color w:val="767171"/>
          <w:sz w:val="24"/>
          <w:szCs w:val="24"/>
        </w:rPr>
        <w:t xml:space="preserve">% de lo establecido para este año 2022.  </w:t>
      </w:r>
    </w:p>
    <w:p w14:paraId="2AD100B1" w14:textId="6FA3AF76" w:rsidR="002E5D4D" w:rsidRDefault="002E5D4D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A través de Libre Acceso a la Información Publica seguimos trabajando en el fortalecimiento 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de la transparencia institucional hacia los ciudadanos y hemos respondido y atendido cada una de las solicitudes realizadas por los mismos vía el portal de transparencia para un total de </w:t>
      </w:r>
      <w:r w:rsidR="00FC55BB">
        <w:rPr>
          <w:rFonts w:ascii="Times New Roman" w:hAnsi="Times New Roman"/>
          <w:color w:val="767171"/>
          <w:sz w:val="24"/>
          <w:szCs w:val="24"/>
        </w:rPr>
        <w:t>doscientos dos (202)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 solicitudes dentro del </w:t>
      </w:r>
      <w:r w:rsidR="00FC55BB">
        <w:rPr>
          <w:rFonts w:ascii="Times New Roman" w:hAnsi="Times New Roman"/>
          <w:color w:val="767171"/>
          <w:sz w:val="24"/>
          <w:szCs w:val="24"/>
        </w:rPr>
        <w:t>año completo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FC55BB">
        <w:rPr>
          <w:rFonts w:ascii="Times New Roman" w:hAnsi="Times New Roman"/>
          <w:color w:val="767171"/>
          <w:sz w:val="24"/>
          <w:szCs w:val="24"/>
        </w:rPr>
        <w:t>del 2022</w:t>
      </w:r>
      <w:r w:rsidR="0048138E">
        <w:rPr>
          <w:rFonts w:ascii="Times New Roman" w:hAnsi="Times New Roman"/>
          <w:color w:val="767171"/>
          <w:sz w:val="24"/>
          <w:szCs w:val="24"/>
        </w:rPr>
        <w:t>,</w:t>
      </w:r>
      <w:r w:rsidR="00AF3653">
        <w:rPr>
          <w:rFonts w:ascii="Times New Roman" w:hAnsi="Times New Roman"/>
          <w:color w:val="767171"/>
          <w:sz w:val="24"/>
          <w:szCs w:val="24"/>
        </w:rPr>
        <w:t xml:space="preserve"> actualizamos las certificaciones de las NORTIC A3,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 obteniendo un total de avance de </w:t>
      </w:r>
      <w:r w:rsidR="00FC55BB">
        <w:rPr>
          <w:rFonts w:ascii="Times New Roman" w:hAnsi="Times New Roman"/>
          <w:color w:val="767171"/>
          <w:sz w:val="24"/>
          <w:szCs w:val="24"/>
        </w:rPr>
        <w:t>62.39</w:t>
      </w:r>
      <w:r w:rsidR="0048138E">
        <w:rPr>
          <w:rFonts w:ascii="Times New Roman" w:hAnsi="Times New Roman"/>
          <w:color w:val="767171"/>
          <w:sz w:val="24"/>
          <w:szCs w:val="24"/>
        </w:rPr>
        <w:t xml:space="preserve">% de los planificado para este año. </w:t>
      </w:r>
    </w:p>
    <w:p w14:paraId="2F144205" w14:textId="5E1AD174" w:rsidR="0048138E" w:rsidRDefault="0048138E" w:rsidP="007455EE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t xml:space="preserve">En el Departamento de Comunicaciones se ha revisado y actualizado en un </w:t>
      </w:r>
      <w:r w:rsidR="00AF3653">
        <w:rPr>
          <w:rFonts w:ascii="Times New Roman" w:hAnsi="Times New Roman"/>
          <w:color w:val="767171"/>
          <w:sz w:val="24"/>
          <w:szCs w:val="24"/>
        </w:rPr>
        <w:t>100</w:t>
      </w:r>
      <w:r>
        <w:rPr>
          <w:rFonts w:ascii="Times New Roman" w:hAnsi="Times New Roman"/>
          <w:color w:val="767171"/>
          <w:sz w:val="24"/>
          <w:szCs w:val="24"/>
        </w:rPr>
        <w:t xml:space="preserve">% el plan de administración de las redes sociales, </w:t>
      </w:r>
      <w:r w:rsidR="00FC55BB">
        <w:rPr>
          <w:rFonts w:ascii="Times New Roman" w:hAnsi="Times New Roman"/>
          <w:color w:val="767171"/>
          <w:sz w:val="24"/>
          <w:szCs w:val="24"/>
        </w:rPr>
        <w:t>ciento cuarenta y cuatro (144)</w:t>
      </w:r>
      <w:r>
        <w:rPr>
          <w:rFonts w:ascii="Times New Roman" w:hAnsi="Times New Roman"/>
          <w:color w:val="767171"/>
          <w:sz w:val="24"/>
          <w:szCs w:val="24"/>
        </w:rPr>
        <w:t xml:space="preserve"> avisos o servicios publicitarios, se han publicado </w:t>
      </w:r>
      <w:r w:rsidR="00CF344A">
        <w:rPr>
          <w:rFonts w:ascii="Times New Roman" w:hAnsi="Times New Roman"/>
          <w:color w:val="767171"/>
          <w:sz w:val="24"/>
          <w:szCs w:val="24"/>
        </w:rPr>
        <w:t xml:space="preserve">sesenta y </w:t>
      </w:r>
      <w:r w:rsidR="00FC55BB">
        <w:rPr>
          <w:rFonts w:ascii="Times New Roman" w:hAnsi="Times New Roman"/>
          <w:color w:val="767171"/>
          <w:sz w:val="24"/>
          <w:szCs w:val="24"/>
        </w:rPr>
        <w:t>nueve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 </w:t>
      </w:r>
      <w:r>
        <w:rPr>
          <w:rFonts w:ascii="Times New Roman" w:hAnsi="Times New Roman"/>
          <w:color w:val="767171"/>
          <w:sz w:val="24"/>
          <w:szCs w:val="24"/>
        </w:rPr>
        <w:t>(</w:t>
      </w:r>
      <w:r w:rsidR="00CF344A">
        <w:rPr>
          <w:rFonts w:ascii="Times New Roman" w:hAnsi="Times New Roman"/>
          <w:color w:val="767171"/>
          <w:sz w:val="24"/>
          <w:szCs w:val="24"/>
        </w:rPr>
        <w:t>6</w:t>
      </w:r>
      <w:r w:rsidR="00FC55BB">
        <w:rPr>
          <w:rFonts w:ascii="Times New Roman" w:hAnsi="Times New Roman"/>
          <w:color w:val="767171"/>
          <w:sz w:val="24"/>
          <w:szCs w:val="24"/>
        </w:rPr>
        <w:t>9</w:t>
      </w:r>
      <w:r>
        <w:rPr>
          <w:rFonts w:ascii="Times New Roman" w:hAnsi="Times New Roman"/>
          <w:color w:val="767171"/>
          <w:sz w:val="24"/>
          <w:szCs w:val="24"/>
        </w:rPr>
        <w:t>) eventos en el mural informativo de la institución,</w:t>
      </w:r>
      <w:r w:rsidR="00CF344A">
        <w:rPr>
          <w:rFonts w:ascii="Times New Roman" w:hAnsi="Times New Roman"/>
          <w:color w:val="767171"/>
          <w:sz w:val="24"/>
          <w:szCs w:val="24"/>
        </w:rPr>
        <w:t xml:space="preserve"> Se actualizo en un 100% el manual de políticas y procedimientos del departamento,</w:t>
      </w:r>
      <w:r>
        <w:rPr>
          <w:rFonts w:ascii="Times New Roman" w:hAnsi="Times New Roman"/>
          <w:color w:val="767171"/>
          <w:sz w:val="24"/>
          <w:szCs w:val="24"/>
        </w:rPr>
        <w:t xml:space="preserve"> obteniendo un avance total de un </w:t>
      </w:r>
      <w:r w:rsidR="00FC55BB">
        <w:rPr>
          <w:rFonts w:ascii="Times New Roman" w:hAnsi="Times New Roman"/>
          <w:color w:val="767171"/>
          <w:sz w:val="24"/>
          <w:szCs w:val="24"/>
        </w:rPr>
        <w:t>69.83</w:t>
      </w:r>
      <w:r>
        <w:rPr>
          <w:rFonts w:ascii="Times New Roman" w:hAnsi="Times New Roman"/>
          <w:color w:val="767171"/>
          <w:sz w:val="24"/>
          <w:szCs w:val="24"/>
        </w:rPr>
        <w:t>%.</w:t>
      </w:r>
    </w:p>
    <w:p w14:paraId="16A662C1" w14:textId="2DDE8B2D" w:rsidR="00E24722" w:rsidRDefault="0048138E" w:rsidP="00E24722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  <w:r>
        <w:rPr>
          <w:rFonts w:ascii="Times New Roman" w:hAnsi="Times New Roman"/>
          <w:color w:val="767171"/>
          <w:sz w:val="24"/>
          <w:szCs w:val="24"/>
        </w:rPr>
        <w:lastRenderedPageBreak/>
        <w:t xml:space="preserve">En el Departamento de Planificación y Desarrollo se comenzó con la realización de la Encuesta de Satisfacción Nacional que </w:t>
      </w:r>
      <w:r w:rsidR="00EC65AA">
        <w:rPr>
          <w:rFonts w:ascii="Times New Roman" w:hAnsi="Times New Roman"/>
          <w:color w:val="767171"/>
          <w:sz w:val="24"/>
          <w:szCs w:val="24"/>
        </w:rPr>
        <w:t>se completó</w:t>
      </w:r>
      <w:r>
        <w:rPr>
          <w:rFonts w:ascii="Times New Roman" w:hAnsi="Times New Roman"/>
          <w:color w:val="767171"/>
          <w:sz w:val="24"/>
          <w:szCs w:val="24"/>
        </w:rPr>
        <w:t xml:space="preserve"> en un </w:t>
      </w:r>
      <w:r w:rsidR="00EC65AA">
        <w:rPr>
          <w:rFonts w:ascii="Times New Roman" w:hAnsi="Times New Roman"/>
          <w:color w:val="767171"/>
          <w:sz w:val="24"/>
          <w:szCs w:val="24"/>
        </w:rPr>
        <w:t>100</w:t>
      </w:r>
      <w:r>
        <w:rPr>
          <w:rFonts w:ascii="Times New Roman" w:hAnsi="Times New Roman"/>
          <w:color w:val="767171"/>
          <w:sz w:val="24"/>
          <w:szCs w:val="24"/>
        </w:rPr>
        <w:t xml:space="preserve">% de elaboración, 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se ha </w:t>
      </w:r>
      <w:r w:rsidR="00EC65AA">
        <w:rPr>
          <w:rFonts w:ascii="Times New Roman" w:hAnsi="Times New Roman"/>
          <w:color w:val="767171"/>
          <w:sz w:val="24"/>
          <w:szCs w:val="24"/>
        </w:rPr>
        <w:t>realizado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 y entregado a toda la institución </w:t>
      </w:r>
      <w:r w:rsidR="00EC2E88">
        <w:rPr>
          <w:rFonts w:ascii="Times New Roman" w:hAnsi="Times New Roman"/>
          <w:color w:val="767171"/>
          <w:sz w:val="24"/>
          <w:szCs w:val="24"/>
        </w:rPr>
        <w:t>diez (10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) </w:t>
      </w:r>
      <w:proofErr w:type="spellStart"/>
      <w:r w:rsidR="007455EE">
        <w:rPr>
          <w:rFonts w:ascii="Times New Roman" w:hAnsi="Times New Roman"/>
          <w:color w:val="767171"/>
          <w:sz w:val="24"/>
          <w:szCs w:val="24"/>
        </w:rPr>
        <w:t>Noti</w:t>
      </w:r>
      <w:proofErr w:type="spellEnd"/>
      <w:r w:rsidR="007455EE">
        <w:rPr>
          <w:rFonts w:ascii="Times New Roman" w:hAnsi="Times New Roman"/>
          <w:color w:val="767171"/>
          <w:sz w:val="24"/>
          <w:szCs w:val="24"/>
        </w:rPr>
        <w:t xml:space="preserve"> </w:t>
      </w:r>
      <w:proofErr w:type="spellStart"/>
      <w:r w:rsidR="007455EE">
        <w:rPr>
          <w:rFonts w:ascii="Times New Roman" w:hAnsi="Times New Roman"/>
          <w:color w:val="767171"/>
          <w:sz w:val="24"/>
          <w:szCs w:val="24"/>
        </w:rPr>
        <w:t>Planic</w:t>
      </w:r>
      <w:proofErr w:type="spellEnd"/>
      <w:r w:rsidR="005622EE">
        <w:rPr>
          <w:rFonts w:ascii="Times New Roman" w:hAnsi="Times New Roman"/>
          <w:color w:val="767171"/>
          <w:sz w:val="24"/>
          <w:szCs w:val="24"/>
        </w:rPr>
        <w:t xml:space="preserve">, 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a través del PROGEF se ha solicitado el saneamiento de </w:t>
      </w:r>
      <w:r w:rsidR="00E24722">
        <w:rPr>
          <w:rFonts w:ascii="Times New Roman" w:hAnsi="Times New Roman"/>
          <w:color w:val="767171"/>
          <w:sz w:val="24"/>
          <w:szCs w:val="24"/>
        </w:rPr>
        <w:t xml:space="preserve">ciento 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setenta y </w:t>
      </w:r>
      <w:r w:rsidR="00E24722">
        <w:rPr>
          <w:rFonts w:ascii="Times New Roman" w:hAnsi="Times New Roman"/>
          <w:color w:val="767171"/>
          <w:sz w:val="24"/>
          <w:szCs w:val="24"/>
        </w:rPr>
        <w:t>nueve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 (</w:t>
      </w:r>
      <w:r w:rsidR="00E24722">
        <w:rPr>
          <w:rFonts w:ascii="Times New Roman" w:hAnsi="Times New Roman"/>
          <w:color w:val="767171"/>
          <w:sz w:val="24"/>
          <w:szCs w:val="24"/>
        </w:rPr>
        <w:t>1</w:t>
      </w:r>
      <w:r w:rsidR="00EC65AA">
        <w:rPr>
          <w:rFonts w:ascii="Times New Roman" w:hAnsi="Times New Roman"/>
          <w:color w:val="767171"/>
          <w:sz w:val="24"/>
          <w:szCs w:val="24"/>
        </w:rPr>
        <w:t>7</w:t>
      </w:r>
      <w:r w:rsidR="00E24722">
        <w:rPr>
          <w:rFonts w:ascii="Times New Roman" w:hAnsi="Times New Roman"/>
          <w:color w:val="767171"/>
          <w:sz w:val="24"/>
          <w:szCs w:val="24"/>
        </w:rPr>
        <w:t>9</w:t>
      </w:r>
      <w:r w:rsidR="00EC65AA">
        <w:rPr>
          <w:rFonts w:ascii="Times New Roman" w:hAnsi="Times New Roman"/>
          <w:color w:val="767171"/>
          <w:sz w:val="24"/>
          <w:szCs w:val="24"/>
        </w:rPr>
        <w:t>) terrenos que están en posesión de instituciones del Estado Dominicano</w:t>
      </w:r>
      <w:r w:rsidR="005622EE">
        <w:rPr>
          <w:rFonts w:ascii="Times New Roman" w:hAnsi="Times New Roman"/>
          <w:color w:val="767171"/>
          <w:sz w:val="24"/>
          <w:szCs w:val="24"/>
        </w:rPr>
        <w:t>,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 se </w:t>
      </w:r>
      <w:r w:rsidR="00E24722">
        <w:rPr>
          <w:rFonts w:ascii="Times New Roman" w:hAnsi="Times New Roman"/>
          <w:color w:val="767171"/>
          <w:sz w:val="24"/>
          <w:szCs w:val="24"/>
        </w:rPr>
        <w:t>elaboró en un 100%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 </w:t>
      </w:r>
      <w:r w:rsidR="00E24722">
        <w:rPr>
          <w:rFonts w:ascii="Times New Roman" w:hAnsi="Times New Roman"/>
          <w:color w:val="767171"/>
          <w:sz w:val="24"/>
          <w:szCs w:val="24"/>
        </w:rPr>
        <w:t>el</w:t>
      </w:r>
      <w:r w:rsidR="00EC65AA">
        <w:rPr>
          <w:rFonts w:ascii="Times New Roman" w:hAnsi="Times New Roman"/>
          <w:color w:val="767171"/>
          <w:sz w:val="24"/>
          <w:szCs w:val="24"/>
        </w:rPr>
        <w:t xml:space="preserve"> macro proceso interinstitucional entre la Dirección General de Catastro Nacional, Dirección de Contabilidad Gubernamental y la Dirección General de Bienes Nacionales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, Obtuvimos un </w:t>
      </w:r>
      <w:r w:rsidR="00E24722">
        <w:rPr>
          <w:rFonts w:ascii="Times New Roman" w:hAnsi="Times New Roman"/>
          <w:color w:val="767171"/>
          <w:sz w:val="24"/>
          <w:szCs w:val="24"/>
        </w:rPr>
        <w:t>85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% de puntuación en las Normas Básicas de Control Interno (NOBACI) y en la Gestión Marco Común de Evaluación – CAF se ha realizo un </w:t>
      </w:r>
      <w:r w:rsidR="007E675C">
        <w:rPr>
          <w:rFonts w:ascii="Times New Roman" w:hAnsi="Times New Roman"/>
          <w:color w:val="767171"/>
          <w:sz w:val="24"/>
          <w:szCs w:val="24"/>
        </w:rPr>
        <w:t>100</w:t>
      </w:r>
      <w:r w:rsidR="005622EE">
        <w:rPr>
          <w:rFonts w:ascii="Times New Roman" w:hAnsi="Times New Roman"/>
          <w:color w:val="767171"/>
          <w:sz w:val="24"/>
          <w:szCs w:val="24"/>
        </w:rPr>
        <w:t>% del autodiagnóstico,</w:t>
      </w:r>
      <w:r w:rsidR="007E675C">
        <w:rPr>
          <w:rFonts w:ascii="Times New Roman" w:hAnsi="Times New Roman"/>
          <w:color w:val="767171"/>
          <w:sz w:val="24"/>
          <w:szCs w:val="24"/>
        </w:rPr>
        <w:t xml:space="preserve"> y un 100% del plan de mejora de ese autodiagnóstico, se han entregado y cargado </w:t>
      </w:r>
      <w:r w:rsidR="00EC2E88">
        <w:rPr>
          <w:rFonts w:ascii="Times New Roman" w:hAnsi="Times New Roman"/>
          <w:color w:val="767171"/>
          <w:sz w:val="24"/>
          <w:szCs w:val="24"/>
        </w:rPr>
        <w:t>cuatro (4</w:t>
      </w:r>
      <w:r w:rsidR="007E675C">
        <w:rPr>
          <w:rFonts w:ascii="Times New Roman" w:hAnsi="Times New Roman"/>
          <w:color w:val="767171"/>
          <w:sz w:val="24"/>
          <w:szCs w:val="24"/>
        </w:rPr>
        <w:t>) informes de metas físicas presupuestarias del 2022 correspondiente a los dos primeros trimestres del año,</w:t>
      </w:r>
      <w:r w:rsidR="005622EE">
        <w:rPr>
          <w:rFonts w:ascii="Times New Roman" w:hAnsi="Times New Roman"/>
          <w:color w:val="767171"/>
          <w:sz w:val="24"/>
          <w:szCs w:val="24"/>
        </w:rPr>
        <w:t xml:space="preserve"> obteniendo un avance total de </w:t>
      </w:r>
      <w:r w:rsidR="00EC2E88">
        <w:rPr>
          <w:rFonts w:ascii="Times New Roman" w:hAnsi="Times New Roman"/>
          <w:color w:val="767171"/>
          <w:sz w:val="24"/>
          <w:szCs w:val="24"/>
        </w:rPr>
        <w:t>83</w:t>
      </w:r>
      <w:r w:rsidR="005622EE">
        <w:rPr>
          <w:rFonts w:ascii="Times New Roman" w:hAnsi="Times New Roman"/>
          <w:color w:val="767171"/>
          <w:sz w:val="24"/>
          <w:szCs w:val="24"/>
        </w:rPr>
        <w:t>%.</w:t>
      </w:r>
    </w:p>
    <w:p w14:paraId="1DD1913E" w14:textId="1E1D17E3" w:rsidR="00DC2C66" w:rsidRPr="00E24722" w:rsidRDefault="00DC2C66" w:rsidP="00E24722">
      <w:pPr>
        <w:pStyle w:val="Textonotasalpie"/>
        <w:spacing w:line="360" w:lineRule="auto"/>
        <w:rPr>
          <w:rFonts w:ascii="Times New Roman" w:hAnsi="Times New Roman"/>
          <w:color w:val="767171"/>
          <w:sz w:val="24"/>
          <w:szCs w:val="24"/>
        </w:rPr>
      </w:pPr>
    </w:p>
    <w:p w14:paraId="0BBDC90D" w14:textId="77777777" w:rsidR="00DC2C66" w:rsidRDefault="00DC2C66" w:rsidP="007455EE">
      <w:pPr>
        <w:spacing w:line="360" w:lineRule="auto"/>
        <w:jc w:val="center"/>
        <w:rPr>
          <w:rFonts w:ascii="Times New Roman" w:hAnsi="Times New Roman"/>
          <w:color w:val="767171" w:themeColor="background2" w:themeShade="80"/>
          <w:sz w:val="24"/>
          <w:szCs w:val="24"/>
        </w:rPr>
      </w:pPr>
    </w:p>
    <w:p w14:paraId="0AD69CD1" w14:textId="77777777" w:rsidR="00DC2C66" w:rsidRDefault="00DC2C66" w:rsidP="007455EE">
      <w:pPr>
        <w:spacing w:line="360" w:lineRule="auto"/>
        <w:rPr>
          <w:rFonts w:ascii="Times New Roman" w:hAnsi="Times New Roman"/>
          <w:color w:val="767171" w:themeColor="background2" w:themeShade="80"/>
          <w:sz w:val="24"/>
          <w:szCs w:val="24"/>
        </w:rPr>
      </w:pPr>
      <w:r>
        <w:rPr>
          <w:rFonts w:ascii="Times New Roman" w:hAnsi="Times New Roman"/>
          <w:color w:val="767171" w:themeColor="background2" w:themeShade="80"/>
          <w:sz w:val="24"/>
          <w:szCs w:val="24"/>
        </w:rPr>
        <w:t>___________</w:t>
      </w:r>
      <w:r w:rsidR="007455EE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_______________                          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>___________________________</w:t>
      </w:r>
    </w:p>
    <w:p w14:paraId="664AAE07" w14:textId="77777777" w:rsidR="00DC2C66" w:rsidRPr="00EA407A" w:rsidRDefault="00DC2C66" w:rsidP="007455EE">
      <w:pPr>
        <w:spacing w:after="0" w:line="240" w:lineRule="auto"/>
        <w:jc w:val="center"/>
        <w:rPr>
          <w:rFonts w:ascii="Times New Roman" w:hAnsi="Times New Roman"/>
          <w:b/>
          <w:color w:val="767171" w:themeColor="background2" w:themeShade="80"/>
          <w:sz w:val="24"/>
          <w:szCs w:val="24"/>
        </w:rPr>
      </w:pPr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>Damnia Gomera Alba</w:t>
      </w:r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ab/>
      </w:r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ab/>
      </w:r>
      <w:r>
        <w:rPr>
          <w:rFonts w:ascii="Times New Roman" w:hAnsi="Times New Roman"/>
          <w:b/>
          <w:color w:val="767171" w:themeColor="background2" w:themeShade="80"/>
          <w:sz w:val="24"/>
          <w:szCs w:val="24"/>
        </w:rPr>
        <w:t xml:space="preserve">                   </w:t>
      </w:r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>Wilkin</w:t>
      </w:r>
      <w:bookmarkStart w:id="1" w:name="_GoBack"/>
      <w:bookmarkEnd w:id="1"/>
      <w:r w:rsidRPr="00EA407A">
        <w:rPr>
          <w:rFonts w:ascii="Times New Roman" w:hAnsi="Times New Roman"/>
          <w:b/>
          <w:color w:val="767171" w:themeColor="background2" w:themeShade="80"/>
          <w:sz w:val="24"/>
          <w:szCs w:val="24"/>
        </w:rPr>
        <w:t xml:space="preserve"> A. Moreno Abreu</w:t>
      </w:r>
    </w:p>
    <w:p w14:paraId="5A0333E9" w14:textId="77777777" w:rsidR="00DC2C66" w:rsidRDefault="007455EE" w:rsidP="007455EE">
      <w:pPr>
        <w:spacing w:after="0" w:line="240" w:lineRule="auto"/>
        <w:jc w:val="center"/>
        <w:rPr>
          <w:rFonts w:ascii="Times New Roman" w:hAnsi="Times New Roman"/>
          <w:color w:val="767171" w:themeColor="background2" w:themeShade="80"/>
          <w:sz w:val="24"/>
          <w:szCs w:val="24"/>
        </w:rPr>
      </w:pPr>
      <w:r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     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Encargada de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ab/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ab/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ab/>
        <w:t xml:space="preserve">         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        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>Subdirector General de</w:t>
      </w:r>
    </w:p>
    <w:p w14:paraId="47EB44AA" w14:textId="77777777" w:rsidR="00DC2C66" w:rsidRPr="007455EE" w:rsidRDefault="005622EE" w:rsidP="007455EE">
      <w:pPr>
        <w:spacing w:line="240" w:lineRule="auto"/>
        <w:jc w:val="center"/>
        <w:rPr>
          <w:rFonts w:ascii="Times New Roman" w:hAnsi="Times New Roman"/>
          <w:color w:val="767171" w:themeColor="background2" w:themeShade="80"/>
          <w:sz w:val="24"/>
          <w:szCs w:val="24"/>
        </w:rPr>
        <w:sectPr w:rsidR="00DC2C66" w:rsidRPr="007455EE" w:rsidSect="005622EE">
          <w:footerReference w:type="default" r:id="rId9"/>
          <w:pgSz w:w="12242" w:h="15842" w:code="1"/>
          <w:pgMar w:top="1440" w:right="2160" w:bottom="1440" w:left="2160" w:header="709" w:footer="118" w:gutter="0"/>
          <w:cols w:space="708"/>
          <w:titlePg/>
          <w:docGrid w:linePitch="360"/>
        </w:sectPr>
      </w:pPr>
      <w:r>
        <w:rPr>
          <w:rFonts w:ascii="Times New Roman" w:hAnsi="Times New Roman"/>
          <w:color w:val="767171" w:themeColor="background2" w:themeShade="80"/>
          <w:sz w:val="24"/>
          <w:szCs w:val="24"/>
        </w:rPr>
        <w:t>Planificación y Desarrollo</w:t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ab/>
      </w:r>
      <w:r>
        <w:rPr>
          <w:rFonts w:ascii="Times New Roman" w:hAnsi="Times New Roman"/>
          <w:color w:val="767171" w:themeColor="background2" w:themeShade="80"/>
          <w:sz w:val="24"/>
          <w:szCs w:val="24"/>
        </w:rPr>
        <w:tab/>
        <w:t xml:space="preserve">        </w:t>
      </w:r>
      <w:r w:rsidR="007455EE">
        <w:rPr>
          <w:rFonts w:ascii="Times New Roman" w:hAnsi="Times New Roman"/>
          <w:color w:val="767171" w:themeColor="background2" w:themeShade="80"/>
          <w:sz w:val="24"/>
          <w:szCs w:val="24"/>
        </w:rPr>
        <w:t xml:space="preserve">             </w:t>
      </w:r>
      <w:r w:rsidR="00DC2C66">
        <w:rPr>
          <w:rFonts w:ascii="Times New Roman" w:hAnsi="Times New Roman"/>
          <w:color w:val="767171" w:themeColor="background2" w:themeShade="80"/>
          <w:sz w:val="24"/>
          <w:szCs w:val="24"/>
        </w:rPr>
        <w:t>Planificación y Desarro</w:t>
      </w:r>
      <w:r w:rsidR="007455EE">
        <w:rPr>
          <w:rFonts w:ascii="Times New Roman" w:hAnsi="Times New Roman"/>
          <w:color w:val="767171" w:themeColor="background2" w:themeShade="80"/>
          <w:sz w:val="24"/>
          <w:szCs w:val="24"/>
        </w:rPr>
        <w:t>llo</w:t>
      </w:r>
    </w:p>
    <w:p w14:paraId="27B6117D" w14:textId="77777777" w:rsidR="00DC2C66" w:rsidRPr="007455EE" w:rsidRDefault="00DC2C66" w:rsidP="007455EE">
      <w:pPr>
        <w:tabs>
          <w:tab w:val="left" w:pos="5910"/>
        </w:tabs>
      </w:pPr>
    </w:p>
    <w:sectPr w:rsidR="00DC2C66" w:rsidRPr="007455EE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E05D0" w14:textId="77777777" w:rsidR="00474933" w:rsidRDefault="00474933" w:rsidP="0055607B">
      <w:pPr>
        <w:spacing w:after="0" w:line="240" w:lineRule="auto"/>
      </w:pPr>
      <w:r>
        <w:separator/>
      </w:r>
    </w:p>
  </w:endnote>
  <w:endnote w:type="continuationSeparator" w:id="0">
    <w:p w14:paraId="524130CF" w14:textId="77777777" w:rsidR="00474933" w:rsidRDefault="00474933" w:rsidP="00556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Gotham Thin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Artifex CF Ext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5F457" w14:textId="77777777" w:rsidR="005622EE" w:rsidRDefault="005622EE">
    <w:pPr>
      <w:pStyle w:val="Piedepgina"/>
      <w:jc w:val="center"/>
    </w:pPr>
  </w:p>
  <w:p w14:paraId="604B87F8" w14:textId="77777777" w:rsidR="005622EE" w:rsidRDefault="005622EE">
    <w:pPr>
      <w:pStyle w:val="Piedepgina"/>
      <w:jc w:val="center"/>
    </w:pPr>
    <w:r>
      <w:rPr>
        <w:noProof/>
        <w:lang w:val="es-DO" w:eastAsia="es-DO"/>
      </w:rPr>
      <w:drawing>
        <wp:inline distT="0" distB="0" distL="0" distR="0" wp14:anchorId="403B92A3" wp14:editId="48754584">
          <wp:extent cx="2999740" cy="401955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9740" cy="40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AC112E" w14:textId="4BE50FC1" w:rsidR="005622EE" w:rsidRPr="006F0C62" w:rsidRDefault="005622EE">
    <w:pPr>
      <w:pStyle w:val="Piedepgina"/>
      <w:jc w:val="center"/>
      <w:rPr>
        <w:rFonts w:ascii="Times New Roman" w:hAnsi="Times New Roman"/>
        <w:color w:val="767171"/>
      </w:rPr>
    </w:pPr>
    <w:r w:rsidRPr="006F0C62">
      <w:rPr>
        <w:rFonts w:ascii="Times New Roman" w:hAnsi="Times New Roman"/>
        <w:color w:val="767171"/>
      </w:rPr>
      <w:fldChar w:fldCharType="begin"/>
    </w:r>
    <w:r w:rsidRPr="006F0C62">
      <w:rPr>
        <w:rFonts w:ascii="Times New Roman" w:hAnsi="Times New Roman"/>
        <w:color w:val="767171"/>
      </w:rPr>
      <w:instrText>PAGE   \* MERGEFORMAT</w:instrText>
    </w:r>
    <w:r w:rsidRPr="006F0C62">
      <w:rPr>
        <w:rFonts w:ascii="Times New Roman" w:hAnsi="Times New Roman"/>
        <w:color w:val="767171"/>
      </w:rPr>
      <w:fldChar w:fldCharType="separate"/>
    </w:r>
    <w:r w:rsidR="00142CF1">
      <w:rPr>
        <w:rFonts w:ascii="Times New Roman" w:hAnsi="Times New Roman"/>
        <w:noProof/>
        <w:color w:val="767171"/>
      </w:rPr>
      <w:t>6</w:t>
    </w:r>
    <w:r w:rsidRPr="006F0C62">
      <w:rPr>
        <w:rFonts w:ascii="Times New Roman" w:hAnsi="Times New Roman"/>
        <w:color w:val="767171"/>
      </w:rPr>
      <w:fldChar w:fldCharType="end"/>
    </w:r>
  </w:p>
  <w:p w14:paraId="001BF49F" w14:textId="77777777" w:rsidR="005622EE" w:rsidRDefault="005622E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2A45B" w14:textId="77777777" w:rsidR="005622EE" w:rsidRDefault="005622EE">
    <w:pPr>
      <w:pStyle w:val="Piedepgina"/>
      <w:jc w:val="center"/>
    </w:pPr>
  </w:p>
  <w:p w14:paraId="7707F446" w14:textId="77777777" w:rsidR="005622EE" w:rsidRDefault="005622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1983A" w14:textId="77777777" w:rsidR="00474933" w:rsidRDefault="00474933" w:rsidP="0055607B">
      <w:pPr>
        <w:spacing w:after="0" w:line="240" w:lineRule="auto"/>
      </w:pPr>
      <w:r>
        <w:separator/>
      </w:r>
    </w:p>
  </w:footnote>
  <w:footnote w:type="continuationSeparator" w:id="0">
    <w:p w14:paraId="2D475BC0" w14:textId="77777777" w:rsidR="00474933" w:rsidRDefault="00474933" w:rsidP="005560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2661"/>
    <w:multiLevelType w:val="hybridMultilevel"/>
    <w:tmpl w:val="3BDAA03C"/>
    <w:lvl w:ilvl="0" w:tplc="5A5CECA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72B8E"/>
    <w:multiLevelType w:val="hybridMultilevel"/>
    <w:tmpl w:val="521EB1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507E9"/>
    <w:multiLevelType w:val="hybridMultilevel"/>
    <w:tmpl w:val="1C3473A2"/>
    <w:lvl w:ilvl="0" w:tplc="20E209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E6AB4"/>
    <w:multiLevelType w:val="hybridMultilevel"/>
    <w:tmpl w:val="82F8EC26"/>
    <w:lvl w:ilvl="0" w:tplc="C36A6B9A">
      <w:start w:val="1"/>
      <w:numFmt w:val="lowerLetter"/>
      <w:lvlText w:val="%1."/>
      <w:lvlJc w:val="left"/>
      <w:pPr>
        <w:ind w:left="1212" w:hanging="4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84" w:hanging="360"/>
      </w:pPr>
    </w:lvl>
    <w:lvl w:ilvl="2" w:tplc="0C0A001B" w:tentative="1">
      <w:start w:val="1"/>
      <w:numFmt w:val="lowerRoman"/>
      <w:lvlText w:val="%3."/>
      <w:lvlJc w:val="right"/>
      <w:pPr>
        <w:ind w:left="2604" w:hanging="180"/>
      </w:pPr>
    </w:lvl>
    <w:lvl w:ilvl="3" w:tplc="0C0A000F" w:tentative="1">
      <w:start w:val="1"/>
      <w:numFmt w:val="decimal"/>
      <w:lvlText w:val="%4."/>
      <w:lvlJc w:val="left"/>
      <w:pPr>
        <w:ind w:left="3324" w:hanging="360"/>
      </w:pPr>
    </w:lvl>
    <w:lvl w:ilvl="4" w:tplc="0C0A0019" w:tentative="1">
      <w:start w:val="1"/>
      <w:numFmt w:val="lowerLetter"/>
      <w:lvlText w:val="%5."/>
      <w:lvlJc w:val="left"/>
      <w:pPr>
        <w:ind w:left="4044" w:hanging="360"/>
      </w:pPr>
    </w:lvl>
    <w:lvl w:ilvl="5" w:tplc="0C0A001B" w:tentative="1">
      <w:start w:val="1"/>
      <w:numFmt w:val="lowerRoman"/>
      <w:lvlText w:val="%6."/>
      <w:lvlJc w:val="right"/>
      <w:pPr>
        <w:ind w:left="4764" w:hanging="180"/>
      </w:pPr>
    </w:lvl>
    <w:lvl w:ilvl="6" w:tplc="0C0A000F" w:tentative="1">
      <w:start w:val="1"/>
      <w:numFmt w:val="decimal"/>
      <w:lvlText w:val="%7."/>
      <w:lvlJc w:val="left"/>
      <w:pPr>
        <w:ind w:left="5484" w:hanging="360"/>
      </w:pPr>
    </w:lvl>
    <w:lvl w:ilvl="7" w:tplc="0C0A0019" w:tentative="1">
      <w:start w:val="1"/>
      <w:numFmt w:val="lowerLetter"/>
      <w:lvlText w:val="%8."/>
      <w:lvlJc w:val="left"/>
      <w:pPr>
        <w:ind w:left="6204" w:hanging="360"/>
      </w:pPr>
    </w:lvl>
    <w:lvl w:ilvl="8" w:tplc="0C0A001B" w:tentative="1">
      <w:start w:val="1"/>
      <w:numFmt w:val="lowerRoman"/>
      <w:lvlText w:val="%9."/>
      <w:lvlJc w:val="right"/>
      <w:pPr>
        <w:ind w:left="6924" w:hanging="180"/>
      </w:pPr>
    </w:lvl>
  </w:abstractNum>
  <w:abstractNum w:abstractNumId="4" w15:restartNumberingAfterBreak="0">
    <w:nsid w:val="2CA1568C"/>
    <w:multiLevelType w:val="hybridMultilevel"/>
    <w:tmpl w:val="0422F1A8"/>
    <w:lvl w:ilvl="0" w:tplc="BE323B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60CCA"/>
    <w:multiLevelType w:val="hybridMultilevel"/>
    <w:tmpl w:val="EE968BAA"/>
    <w:lvl w:ilvl="0" w:tplc="7110E0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60597"/>
    <w:multiLevelType w:val="hybridMultilevel"/>
    <w:tmpl w:val="C936BDA4"/>
    <w:lvl w:ilvl="0" w:tplc="0C0A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7" w15:restartNumberingAfterBreak="0">
    <w:nsid w:val="36371036"/>
    <w:multiLevelType w:val="hybridMultilevel"/>
    <w:tmpl w:val="39F24EB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76796"/>
    <w:multiLevelType w:val="hybridMultilevel"/>
    <w:tmpl w:val="89308D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27A33"/>
    <w:multiLevelType w:val="hybridMultilevel"/>
    <w:tmpl w:val="6FEAE2D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228FB"/>
    <w:multiLevelType w:val="hybridMultilevel"/>
    <w:tmpl w:val="6FE00B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59E61BC6"/>
    <w:multiLevelType w:val="hybridMultilevel"/>
    <w:tmpl w:val="CC383CE4"/>
    <w:lvl w:ilvl="0" w:tplc="8076A6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AC75E0"/>
    <w:multiLevelType w:val="hybridMultilevel"/>
    <w:tmpl w:val="68C0F5D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D16B40"/>
    <w:multiLevelType w:val="hybridMultilevel"/>
    <w:tmpl w:val="7EF0325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0770F"/>
    <w:multiLevelType w:val="hybridMultilevel"/>
    <w:tmpl w:val="760E6F52"/>
    <w:lvl w:ilvl="0" w:tplc="5A5CECA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0"/>
  </w:num>
  <w:num w:numId="5">
    <w:abstractNumId w:val="5"/>
  </w:num>
  <w:num w:numId="6">
    <w:abstractNumId w:val="2"/>
  </w:num>
  <w:num w:numId="7">
    <w:abstractNumId w:val="4"/>
  </w:num>
  <w:num w:numId="8">
    <w:abstractNumId w:val="11"/>
  </w:num>
  <w:num w:numId="9">
    <w:abstractNumId w:val="3"/>
  </w:num>
  <w:num w:numId="10">
    <w:abstractNumId w:val="8"/>
  </w:num>
  <w:num w:numId="11">
    <w:abstractNumId w:val="0"/>
  </w:num>
  <w:num w:numId="12">
    <w:abstractNumId w:val="14"/>
  </w:num>
  <w:num w:numId="13">
    <w:abstractNumId w:val="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97C"/>
    <w:rsid w:val="000031B7"/>
    <w:rsid w:val="00013F3B"/>
    <w:rsid w:val="0003592A"/>
    <w:rsid w:val="000C6033"/>
    <w:rsid w:val="000F5DFF"/>
    <w:rsid w:val="001072A6"/>
    <w:rsid w:val="00142CF1"/>
    <w:rsid w:val="00170030"/>
    <w:rsid w:val="001C34FB"/>
    <w:rsid w:val="002047F5"/>
    <w:rsid w:val="002677C0"/>
    <w:rsid w:val="002B5A06"/>
    <w:rsid w:val="002E5D4D"/>
    <w:rsid w:val="003025C3"/>
    <w:rsid w:val="00351E36"/>
    <w:rsid w:val="00381AC3"/>
    <w:rsid w:val="00470039"/>
    <w:rsid w:val="00474933"/>
    <w:rsid w:val="0048138E"/>
    <w:rsid w:val="004A0770"/>
    <w:rsid w:val="004A3554"/>
    <w:rsid w:val="004E0BD1"/>
    <w:rsid w:val="0055607B"/>
    <w:rsid w:val="005622EE"/>
    <w:rsid w:val="00587AD0"/>
    <w:rsid w:val="006271CF"/>
    <w:rsid w:val="00642481"/>
    <w:rsid w:val="006807EE"/>
    <w:rsid w:val="006A0CE3"/>
    <w:rsid w:val="007455EE"/>
    <w:rsid w:val="00764D19"/>
    <w:rsid w:val="00770C8F"/>
    <w:rsid w:val="007E675C"/>
    <w:rsid w:val="00803BF4"/>
    <w:rsid w:val="00920B26"/>
    <w:rsid w:val="009A67A1"/>
    <w:rsid w:val="009E1BB1"/>
    <w:rsid w:val="00A0497E"/>
    <w:rsid w:val="00A15264"/>
    <w:rsid w:val="00A45C6F"/>
    <w:rsid w:val="00A62924"/>
    <w:rsid w:val="00A7775C"/>
    <w:rsid w:val="00A83BA5"/>
    <w:rsid w:val="00A95552"/>
    <w:rsid w:val="00AD58EF"/>
    <w:rsid w:val="00AF3653"/>
    <w:rsid w:val="00B271E9"/>
    <w:rsid w:val="00B55790"/>
    <w:rsid w:val="00B80A44"/>
    <w:rsid w:val="00BA3E44"/>
    <w:rsid w:val="00CF344A"/>
    <w:rsid w:val="00D02465"/>
    <w:rsid w:val="00D61EDB"/>
    <w:rsid w:val="00DC2C66"/>
    <w:rsid w:val="00E24722"/>
    <w:rsid w:val="00E40021"/>
    <w:rsid w:val="00E47DFC"/>
    <w:rsid w:val="00E6297C"/>
    <w:rsid w:val="00EC2E88"/>
    <w:rsid w:val="00EC60F0"/>
    <w:rsid w:val="00EC65AA"/>
    <w:rsid w:val="00F94BB4"/>
    <w:rsid w:val="00FC55BB"/>
    <w:rsid w:val="00FF1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DED3B4"/>
  <w15:chartTrackingRefBased/>
  <w15:docId w15:val="{2B8696BC-0C85-4B60-A045-1AC0D16B5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20B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20B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4BB4"/>
    <w:pPr>
      <w:keepNext/>
      <w:spacing w:before="240" w:after="60" w:line="480" w:lineRule="auto"/>
      <w:jc w:val="both"/>
      <w:outlineLvl w:val="2"/>
    </w:pPr>
    <w:rPr>
      <w:rFonts w:ascii="Times New Roman" w:eastAsia="Times New Roman" w:hAnsi="Times New Roman" w:cs="Times New Roman"/>
      <w:b/>
      <w:bCs/>
      <w:color w:val="767171" w:themeColor="background2" w:themeShade="80"/>
      <w:sz w:val="24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0B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20B2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94BB4"/>
    <w:rPr>
      <w:rFonts w:ascii="Times New Roman" w:eastAsia="Times New Roman" w:hAnsi="Times New Roman" w:cs="Times New Roman"/>
      <w:b/>
      <w:bCs/>
      <w:color w:val="767171" w:themeColor="background2" w:themeShade="80"/>
      <w:sz w:val="24"/>
      <w:szCs w:val="26"/>
      <w:lang w:val="es-ES"/>
    </w:rPr>
  </w:style>
  <w:style w:type="paragraph" w:customStyle="1" w:styleId="Textonotasalpie">
    <w:name w:val="Texto notas al pie"/>
    <w:basedOn w:val="Normal"/>
    <w:link w:val="TextonotasalpieCar"/>
    <w:qFormat/>
    <w:rsid w:val="00F94BB4"/>
    <w:pPr>
      <w:jc w:val="both"/>
    </w:pPr>
    <w:rPr>
      <w:rFonts w:ascii="Gotham Thin" w:eastAsia="Calibri" w:hAnsi="Gotham Thin" w:cs="Times New Roman"/>
      <w:color w:val="003876"/>
      <w:sz w:val="15"/>
      <w:lang w:val="es-ES"/>
    </w:rPr>
  </w:style>
  <w:style w:type="character" w:customStyle="1" w:styleId="TextonotasalpieCar">
    <w:name w:val="Texto notas al pie Car"/>
    <w:link w:val="Textonotasalpie"/>
    <w:rsid w:val="00F94BB4"/>
    <w:rPr>
      <w:rFonts w:ascii="Gotham Thin" w:eastAsia="Calibri" w:hAnsi="Gotham Thin" w:cs="Times New Roman"/>
      <w:color w:val="003876"/>
      <w:sz w:val="15"/>
      <w:lang w:val="es-ES"/>
    </w:rPr>
  </w:style>
  <w:style w:type="paragraph" w:styleId="Prrafodelista">
    <w:name w:val="List Paragraph"/>
    <w:basedOn w:val="Normal"/>
    <w:uiPriority w:val="34"/>
    <w:qFormat/>
    <w:rsid w:val="00920B26"/>
    <w:pPr>
      <w:ind w:left="720"/>
      <w:contextualSpacing/>
    </w:pPr>
  </w:style>
  <w:style w:type="character" w:styleId="nfasisintenso">
    <w:name w:val="Intense Emphasis"/>
    <w:uiPriority w:val="21"/>
    <w:rsid w:val="00920B26"/>
    <w:rPr>
      <w:i/>
      <w:iCs/>
      <w:color w:val="5B9BD5"/>
    </w:rPr>
  </w:style>
  <w:style w:type="paragraph" w:styleId="Subttulo">
    <w:name w:val="Subtitle"/>
    <w:basedOn w:val="Normal"/>
    <w:next w:val="Normal"/>
    <w:link w:val="SubttuloCar"/>
    <w:uiPriority w:val="11"/>
    <w:qFormat/>
    <w:rsid w:val="00920B26"/>
    <w:pPr>
      <w:numPr>
        <w:ilvl w:val="1"/>
      </w:numPr>
      <w:jc w:val="center"/>
    </w:pPr>
    <w:rPr>
      <w:rFonts w:ascii="Gotham" w:eastAsia="Times New Roman" w:hAnsi="Gotham" w:cs="Times New Roman"/>
      <w:color w:val="2F5496"/>
      <w:spacing w:val="15"/>
      <w:sz w:val="16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920B26"/>
    <w:rPr>
      <w:rFonts w:ascii="Gotham" w:eastAsia="Times New Roman" w:hAnsi="Gotham" w:cs="Times New Roman"/>
      <w:color w:val="2F5496"/>
      <w:spacing w:val="15"/>
      <w:sz w:val="16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20B26"/>
    <w:pPr>
      <w:spacing w:line="360" w:lineRule="auto"/>
      <w:outlineLvl w:val="9"/>
    </w:pPr>
    <w:rPr>
      <w:rFonts w:ascii="Calibri Light" w:eastAsia="Times New Roman" w:hAnsi="Calibri Light" w:cs="Times New Roman"/>
      <w:color w:val="2E74B5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920B26"/>
    <w:pPr>
      <w:tabs>
        <w:tab w:val="center" w:pos="4252"/>
        <w:tab w:val="right" w:pos="8504"/>
      </w:tabs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20B26"/>
    <w:rPr>
      <w:rFonts w:ascii="Artifex CF Extra Light" w:eastAsia="Calibri" w:hAnsi="Artifex CF Extra Light" w:cs="Times New Roman"/>
      <w:color w:val="003876"/>
      <w:sz w:val="1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20B26"/>
    <w:pPr>
      <w:tabs>
        <w:tab w:val="center" w:pos="4252"/>
        <w:tab w:val="right" w:pos="8504"/>
      </w:tabs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0B26"/>
    <w:rPr>
      <w:rFonts w:ascii="Artifex CF Extra Light" w:eastAsia="Calibri" w:hAnsi="Artifex CF Extra Light" w:cs="Times New Roman"/>
      <w:color w:val="003876"/>
      <w:sz w:val="18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20B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59"/>
    <w:rsid w:val="00920B2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920B26"/>
    <w:pPr>
      <w:spacing w:after="100"/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920B26"/>
    <w:pPr>
      <w:spacing w:after="100"/>
      <w:ind w:left="180"/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920B26"/>
    <w:pPr>
      <w:spacing w:after="100"/>
      <w:ind w:left="360"/>
      <w:jc w:val="both"/>
    </w:pPr>
    <w:rPr>
      <w:rFonts w:ascii="Artifex CF Extra Light" w:eastAsia="Calibri" w:hAnsi="Artifex CF Extra Light" w:cs="Times New Roman"/>
      <w:color w:val="003876"/>
      <w:sz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920B2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0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0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BE932-0A52-43FF-AD9B-2CEF63F28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1461</Words>
  <Characters>8038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Fernando Bueno</dc:creator>
  <cp:keywords/>
  <dc:description/>
  <cp:lastModifiedBy>PROPIEDAD DE</cp:lastModifiedBy>
  <cp:revision>2</cp:revision>
  <cp:lastPrinted>2023-01-19T16:36:00Z</cp:lastPrinted>
  <dcterms:created xsi:type="dcterms:W3CDTF">2023-01-19T16:37:00Z</dcterms:created>
  <dcterms:modified xsi:type="dcterms:W3CDTF">2023-01-19T16:37:00Z</dcterms:modified>
</cp:coreProperties>
</file>