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4BB4" w:rsidRPr="00920B26" w:rsidRDefault="00C45A32" w:rsidP="0055607B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108pt;margin-top:-1in;width:611.7pt;height:791.7pt;z-index:-251657216;mso-position-horizontal-relative:text;mso-position-vertical-relative:text;mso-width-relative:page;mso-height-relative:page">
            <v:imagedata r:id="rId8" o:title="PORTADA INFORME DE EJECUCCION DEL PLAN OPERATIVO 2022"/>
          </v:shape>
        </w:pict>
      </w:r>
    </w:p>
    <w:p w:rsidR="00F94BB4" w:rsidRPr="00920B26" w:rsidRDefault="00F94BB4" w:rsidP="0055607B">
      <w:pPr>
        <w:spacing w:line="360" w:lineRule="auto"/>
        <w:jc w:val="both"/>
        <w:rPr>
          <w:rFonts w:ascii="Times New Roman" w:hAnsi="Times New Roman" w:cs="Times New Roman"/>
        </w:rPr>
      </w:pPr>
    </w:p>
    <w:p w:rsidR="00F94BB4" w:rsidRPr="00920B26" w:rsidRDefault="00F94BB4" w:rsidP="0055607B">
      <w:pPr>
        <w:spacing w:line="360" w:lineRule="auto"/>
        <w:jc w:val="both"/>
        <w:rPr>
          <w:rFonts w:ascii="Times New Roman" w:hAnsi="Times New Roman" w:cs="Times New Roman"/>
        </w:rPr>
      </w:pPr>
    </w:p>
    <w:p w:rsidR="00F94BB4" w:rsidRPr="00920B26" w:rsidRDefault="00F94BB4" w:rsidP="0055607B">
      <w:pPr>
        <w:spacing w:line="360" w:lineRule="auto"/>
        <w:jc w:val="both"/>
        <w:rPr>
          <w:rFonts w:ascii="Times New Roman" w:hAnsi="Times New Roman" w:cs="Times New Roman"/>
        </w:rPr>
      </w:pPr>
    </w:p>
    <w:p w:rsidR="00B55790" w:rsidRPr="00920B26" w:rsidRDefault="00B55790" w:rsidP="0055607B">
      <w:pPr>
        <w:spacing w:line="360" w:lineRule="auto"/>
        <w:jc w:val="both"/>
        <w:rPr>
          <w:rFonts w:ascii="Times New Roman" w:hAnsi="Times New Roman" w:cs="Times New Roman"/>
        </w:rPr>
      </w:pPr>
    </w:p>
    <w:p w:rsidR="00F94BB4" w:rsidRPr="00920B26" w:rsidRDefault="00F94BB4" w:rsidP="0055607B">
      <w:pPr>
        <w:spacing w:line="360" w:lineRule="auto"/>
        <w:jc w:val="both"/>
        <w:rPr>
          <w:rFonts w:ascii="Times New Roman" w:hAnsi="Times New Roman" w:cs="Times New Roman"/>
        </w:rPr>
      </w:pPr>
    </w:p>
    <w:p w:rsidR="00F94BB4" w:rsidRPr="00920B26" w:rsidRDefault="00F94BB4" w:rsidP="0055607B">
      <w:pPr>
        <w:spacing w:line="360" w:lineRule="auto"/>
        <w:jc w:val="both"/>
        <w:rPr>
          <w:rFonts w:ascii="Times New Roman" w:hAnsi="Times New Roman" w:cs="Times New Roman"/>
        </w:rPr>
      </w:pPr>
    </w:p>
    <w:p w:rsidR="00F94BB4" w:rsidRPr="00920B26" w:rsidRDefault="00F94BB4" w:rsidP="0055607B">
      <w:pPr>
        <w:spacing w:line="360" w:lineRule="auto"/>
        <w:jc w:val="both"/>
        <w:rPr>
          <w:rFonts w:ascii="Times New Roman" w:hAnsi="Times New Roman" w:cs="Times New Roman"/>
        </w:rPr>
      </w:pPr>
    </w:p>
    <w:p w:rsidR="00F94BB4" w:rsidRPr="00920B26" w:rsidRDefault="00F94BB4" w:rsidP="0055607B">
      <w:pPr>
        <w:spacing w:line="360" w:lineRule="auto"/>
        <w:jc w:val="both"/>
        <w:rPr>
          <w:rFonts w:ascii="Times New Roman" w:hAnsi="Times New Roman" w:cs="Times New Roman"/>
        </w:rPr>
      </w:pPr>
    </w:p>
    <w:p w:rsidR="00F94BB4" w:rsidRPr="00920B26" w:rsidRDefault="00F94BB4" w:rsidP="0055607B">
      <w:pPr>
        <w:spacing w:line="360" w:lineRule="auto"/>
        <w:jc w:val="both"/>
        <w:rPr>
          <w:rFonts w:ascii="Times New Roman" w:hAnsi="Times New Roman" w:cs="Times New Roman"/>
        </w:rPr>
      </w:pPr>
    </w:p>
    <w:p w:rsidR="00F94BB4" w:rsidRPr="00920B26" w:rsidRDefault="00F94BB4" w:rsidP="0055607B">
      <w:pPr>
        <w:spacing w:line="360" w:lineRule="auto"/>
        <w:jc w:val="both"/>
        <w:rPr>
          <w:rFonts w:ascii="Times New Roman" w:hAnsi="Times New Roman" w:cs="Times New Roman"/>
        </w:rPr>
      </w:pPr>
    </w:p>
    <w:p w:rsidR="00F94BB4" w:rsidRPr="00920B26" w:rsidRDefault="00F94BB4" w:rsidP="0055607B">
      <w:pPr>
        <w:spacing w:line="360" w:lineRule="auto"/>
        <w:jc w:val="both"/>
        <w:rPr>
          <w:rFonts w:ascii="Times New Roman" w:hAnsi="Times New Roman" w:cs="Times New Roman"/>
        </w:rPr>
      </w:pPr>
    </w:p>
    <w:p w:rsidR="00F94BB4" w:rsidRPr="00920B26" w:rsidRDefault="00F94BB4" w:rsidP="0055607B">
      <w:pPr>
        <w:spacing w:line="360" w:lineRule="auto"/>
        <w:jc w:val="both"/>
        <w:rPr>
          <w:rFonts w:ascii="Times New Roman" w:hAnsi="Times New Roman" w:cs="Times New Roman"/>
        </w:rPr>
      </w:pPr>
    </w:p>
    <w:p w:rsidR="00F94BB4" w:rsidRPr="00920B26" w:rsidRDefault="00F94BB4" w:rsidP="0055607B">
      <w:pPr>
        <w:spacing w:line="360" w:lineRule="auto"/>
        <w:jc w:val="both"/>
        <w:rPr>
          <w:rFonts w:ascii="Times New Roman" w:hAnsi="Times New Roman" w:cs="Times New Roman"/>
        </w:rPr>
      </w:pPr>
    </w:p>
    <w:p w:rsidR="00F94BB4" w:rsidRPr="00920B26" w:rsidRDefault="00F94BB4" w:rsidP="0055607B">
      <w:pPr>
        <w:spacing w:line="360" w:lineRule="auto"/>
        <w:jc w:val="both"/>
        <w:rPr>
          <w:rFonts w:ascii="Times New Roman" w:hAnsi="Times New Roman" w:cs="Times New Roman"/>
        </w:rPr>
      </w:pPr>
    </w:p>
    <w:p w:rsidR="00F94BB4" w:rsidRPr="00920B26" w:rsidRDefault="00F94BB4" w:rsidP="0055607B">
      <w:pPr>
        <w:spacing w:line="360" w:lineRule="auto"/>
        <w:jc w:val="both"/>
        <w:rPr>
          <w:rFonts w:ascii="Times New Roman" w:hAnsi="Times New Roman" w:cs="Times New Roman"/>
        </w:rPr>
      </w:pPr>
    </w:p>
    <w:p w:rsidR="00F94BB4" w:rsidRPr="00920B26" w:rsidRDefault="00F94BB4" w:rsidP="0055607B">
      <w:pPr>
        <w:spacing w:line="360" w:lineRule="auto"/>
        <w:jc w:val="both"/>
        <w:rPr>
          <w:rFonts w:ascii="Times New Roman" w:hAnsi="Times New Roman" w:cs="Times New Roman"/>
        </w:rPr>
      </w:pPr>
    </w:p>
    <w:p w:rsidR="00F94BB4" w:rsidRPr="00920B26" w:rsidRDefault="00F94BB4" w:rsidP="0055607B">
      <w:pPr>
        <w:spacing w:line="360" w:lineRule="auto"/>
        <w:jc w:val="both"/>
        <w:rPr>
          <w:rFonts w:ascii="Times New Roman" w:hAnsi="Times New Roman" w:cs="Times New Roman"/>
        </w:rPr>
      </w:pPr>
    </w:p>
    <w:p w:rsidR="00F94BB4" w:rsidRPr="00920B26" w:rsidRDefault="00F94BB4" w:rsidP="0055607B">
      <w:pPr>
        <w:spacing w:line="360" w:lineRule="auto"/>
        <w:jc w:val="both"/>
        <w:rPr>
          <w:rFonts w:ascii="Times New Roman" w:hAnsi="Times New Roman" w:cs="Times New Roman"/>
        </w:rPr>
      </w:pPr>
    </w:p>
    <w:p w:rsidR="00F94BB4" w:rsidRPr="00920B26" w:rsidRDefault="00F94BB4" w:rsidP="0055607B">
      <w:pPr>
        <w:spacing w:line="360" w:lineRule="auto"/>
        <w:jc w:val="both"/>
        <w:rPr>
          <w:rFonts w:ascii="Times New Roman" w:hAnsi="Times New Roman" w:cs="Times New Roman"/>
        </w:rPr>
      </w:pPr>
    </w:p>
    <w:p w:rsidR="00F94BB4" w:rsidRPr="00920B26" w:rsidRDefault="00F94BB4" w:rsidP="0055607B">
      <w:pPr>
        <w:spacing w:line="360" w:lineRule="auto"/>
        <w:jc w:val="both"/>
        <w:rPr>
          <w:rFonts w:ascii="Times New Roman" w:hAnsi="Times New Roman" w:cs="Times New Roman"/>
        </w:rPr>
      </w:pPr>
    </w:p>
    <w:p w:rsidR="00F94BB4" w:rsidRPr="00920B26" w:rsidRDefault="00F94BB4" w:rsidP="0055607B">
      <w:pPr>
        <w:spacing w:line="360" w:lineRule="auto"/>
        <w:jc w:val="both"/>
        <w:rPr>
          <w:rFonts w:ascii="Times New Roman" w:hAnsi="Times New Roman" w:cs="Times New Roman"/>
        </w:rPr>
      </w:pPr>
    </w:p>
    <w:p w:rsidR="00DC2C66" w:rsidRDefault="00DC2C66"/>
    <w:p w:rsidR="00DC2C66" w:rsidRDefault="00DC2C66"/>
    <w:p w:rsidR="002B5A06" w:rsidRPr="002B5A06" w:rsidRDefault="002B5A06" w:rsidP="002B5A06">
      <w:pPr>
        <w:spacing w:line="360" w:lineRule="auto"/>
        <w:jc w:val="center"/>
        <w:rPr>
          <w:rFonts w:cstheme="minorHAnsi"/>
          <w:b/>
          <w:color w:val="0070C0"/>
          <w:sz w:val="36"/>
          <w:szCs w:val="24"/>
        </w:rPr>
      </w:pPr>
      <w:bookmarkStart w:id="0" w:name="_Toc77776921"/>
      <w:r w:rsidRPr="00750428">
        <w:rPr>
          <w:rFonts w:cstheme="minorHAnsi"/>
          <w:b/>
          <w:color w:val="0070C0"/>
          <w:sz w:val="36"/>
          <w:szCs w:val="24"/>
        </w:rPr>
        <w:lastRenderedPageBreak/>
        <w:t>Informe</w:t>
      </w:r>
      <w:r>
        <w:rPr>
          <w:rFonts w:cstheme="minorHAnsi"/>
          <w:b/>
          <w:color w:val="0070C0"/>
          <w:sz w:val="36"/>
          <w:szCs w:val="24"/>
        </w:rPr>
        <w:t xml:space="preserve"> Trimestral de</w:t>
      </w:r>
      <w:r w:rsidRPr="00750428">
        <w:rPr>
          <w:rFonts w:cstheme="minorHAnsi"/>
          <w:b/>
          <w:color w:val="0070C0"/>
          <w:sz w:val="36"/>
          <w:szCs w:val="24"/>
        </w:rPr>
        <w:t xml:space="preserve"> Ejec</w:t>
      </w:r>
      <w:r w:rsidR="006271CF">
        <w:rPr>
          <w:rFonts w:cstheme="minorHAnsi"/>
          <w:b/>
          <w:color w:val="0070C0"/>
          <w:sz w:val="36"/>
          <w:szCs w:val="24"/>
        </w:rPr>
        <w:t>ución Plan Operativo Anual 2022</w:t>
      </w:r>
      <w:r>
        <w:rPr>
          <w:rFonts w:cstheme="minorHAnsi"/>
          <w:b/>
          <w:color w:val="0070C0"/>
          <w:sz w:val="36"/>
          <w:szCs w:val="24"/>
        </w:rPr>
        <w:t xml:space="preserve"> </w:t>
      </w:r>
      <w:r w:rsidRPr="00750428">
        <w:rPr>
          <w:rFonts w:cstheme="minorHAnsi"/>
          <w:b/>
          <w:color w:val="0070C0"/>
          <w:sz w:val="36"/>
          <w:szCs w:val="24"/>
        </w:rPr>
        <w:t>Dirección General de Bienes Nacionales</w:t>
      </w:r>
    </w:p>
    <w:p w:rsidR="00DC2C66" w:rsidRPr="00A40356" w:rsidRDefault="00DC2C66" w:rsidP="00DC2C66">
      <w:pPr>
        <w:pStyle w:val="Ttulo1"/>
        <w:numPr>
          <w:ilvl w:val="0"/>
          <w:numId w:val="7"/>
        </w:numPr>
        <w:spacing w:line="360" w:lineRule="auto"/>
        <w:jc w:val="center"/>
        <w:rPr>
          <w:b/>
          <w:bCs/>
        </w:rPr>
      </w:pPr>
      <w:r w:rsidRPr="00A40356">
        <w:rPr>
          <w:b/>
          <w:bCs/>
        </w:rPr>
        <w:t>RESUMEN EJECUTIVO</w:t>
      </w:r>
      <w:bookmarkEnd w:id="0"/>
    </w:p>
    <w:p w:rsidR="00DC2C66" w:rsidRPr="00BC69F1" w:rsidRDefault="00DC2C66" w:rsidP="00DC2C66">
      <w:pPr>
        <w:jc w:val="center"/>
        <w:rPr>
          <w:rFonts w:ascii="Times New Roman" w:hAnsi="Times New Roman"/>
          <w:color w:val="767171"/>
        </w:rPr>
      </w:pPr>
      <w:r w:rsidRPr="006F0C62">
        <w:rPr>
          <w:rFonts w:ascii="Times New Roman" w:hAnsi="Times New Roman"/>
          <w:noProof/>
          <w:color w:val="767171"/>
          <w:lang w:eastAsia="es-DO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8ED3D71" wp14:editId="105AD7BE">
                <wp:simplePos x="0" y="0"/>
                <wp:positionH relativeFrom="margin">
                  <wp:posOffset>2402205</wp:posOffset>
                </wp:positionH>
                <wp:positionV relativeFrom="paragraph">
                  <wp:posOffset>15875</wp:posOffset>
                </wp:positionV>
                <wp:extent cx="463550" cy="0"/>
                <wp:effectExtent l="20955" t="22860" r="20320" b="15240"/>
                <wp:wrapNone/>
                <wp:docPr id="7" name="Conector rec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3550" cy="0"/>
                        </a:xfrm>
                        <a:prstGeom prst="line">
                          <a:avLst/>
                        </a:prstGeom>
                        <a:noFill/>
                        <a:ln w="28575" algn="ctr">
                          <a:solidFill>
                            <a:srgbClr val="EE2A24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6AF58C" id="Conector recto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189.15pt,1.25pt" to="225.65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" strokecolor="#ee2a24" strokeweight="2.25pt">
                <v:stroke joinstyle="miter"/>
                <w10:wrap anchorx="margin"/>
              </v:line>
            </w:pict>
          </mc:Fallback>
        </mc:AlternateContent>
      </w:r>
    </w:p>
    <w:p w:rsidR="00DC2C66" w:rsidRPr="00BC69F1" w:rsidRDefault="00DC2C66" w:rsidP="00DC2C66">
      <w:pPr>
        <w:jc w:val="center"/>
        <w:rPr>
          <w:rFonts w:ascii="Times New Roman" w:hAnsi="Times New Roman"/>
          <w:color w:val="767171"/>
          <w:spacing w:val="20"/>
          <w:sz w:val="24"/>
          <w:szCs w:val="36"/>
        </w:rPr>
      </w:pPr>
      <w:r w:rsidRPr="00BC69F1">
        <w:rPr>
          <w:rFonts w:ascii="Times New Roman" w:hAnsi="Times New Roman"/>
          <w:color w:val="767171"/>
          <w:spacing w:val="20"/>
          <w:sz w:val="24"/>
          <w:szCs w:val="36"/>
        </w:rPr>
        <w:t xml:space="preserve">Informe </w:t>
      </w:r>
      <w:r>
        <w:rPr>
          <w:rFonts w:ascii="Times New Roman" w:hAnsi="Times New Roman"/>
          <w:color w:val="767171"/>
          <w:spacing w:val="20"/>
          <w:sz w:val="24"/>
          <w:szCs w:val="36"/>
        </w:rPr>
        <w:t xml:space="preserve">Trimestral </w:t>
      </w:r>
      <w:r w:rsidR="006271CF">
        <w:rPr>
          <w:rFonts w:ascii="Times New Roman" w:hAnsi="Times New Roman"/>
          <w:color w:val="767171"/>
          <w:spacing w:val="20"/>
          <w:sz w:val="24"/>
          <w:szCs w:val="36"/>
        </w:rPr>
        <w:t>Enero – Marzo 2022</w:t>
      </w:r>
    </w:p>
    <w:p w:rsidR="00DC2C66" w:rsidRPr="00BC69F1" w:rsidRDefault="00DC2C66" w:rsidP="00DC2C66">
      <w:pPr>
        <w:spacing w:line="360" w:lineRule="auto"/>
        <w:rPr>
          <w:rFonts w:ascii="Times New Roman" w:hAnsi="Times New Roman"/>
          <w:color w:val="767171"/>
          <w:spacing w:val="20"/>
          <w:sz w:val="16"/>
        </w:rPr>
      </w:pPr>
    </w:p>
    <w:p w:rsidR="00DC2C66" w:rsidRDefault="00DC2C66" w:rsidP="007455EE">
      <w:pPr>
        <w:pStyle w:val="Textonotasalpie"/>
        <w:spacing w:line="360" w:lineRule="auto"/>
        <w:rPr>
          <w:rFonts w:ascii="Times New Roman" w:hAnsi="Times New Roman"/>
          <w:color w:val="767171" w:themeColor="background2" w:themeShade="80"/>
          <w:sz w:val="24"/>
          <w:szCs w:val="24"/>
        </w:rPr>
      </w:pPr>
      <w:r w:rsidRPr="00B16EA8">
        <w:rPr>
          <w:rFonts w:ascii="Times New Roman" w:hAnsi="Times New Roman"/>
          <w:color w:val="767171" w:themeColor="background2" w:themeShade="80"/>
          <w:sz w:val="24"/>
          <w:szCs w:val="24"/>
        </w:rPr>
        <w:t xml:space="preserve">La Dirección General de Bienes Nacionales, como institución rectora de las políticas públicas que rigen la salvaguarda del Patrimonio del Estado a través de la eficientización del uso de los bienes está trabajando arduamente en el crecimiento y desarrollo de esta con el fin de </w:t>
      </w:r>
      <w:r w:rsidR="006271CF">
        <w:rPr>
          <w:rFonts w:ascii="Times New Roman" w:hAnsi="Times New Roman"/>
          <w:color w:val="767171" w:themeColor="background2" w:themeShade="80"/>
          <w:sz w:val="24"/>
          <w:szCs w:val="24"/>
        </w:rPr>
        <w:t xml:space="preserve">mejorar la calidad de los </w:t>
      </w:r>
      <w:r w:rsidRPr="00B16EA8">
        <w:rPr>
          <w:rFonts w:ascii="Times New Roman" w:hAnsi="Times New Roman"/>
          <w:color w:val="767171" w:themeColor="background2" w:themeShade="80"/>
          <w:sz w:val="24"/>
          <w:szCs w:val="24"/>
        </w:rPr>
        <w:t>servicio</w:t>
      </w:r>
      <w:r w:rsidR="006271CF">
        <w:rPr>
          <w:rFonts w:ascii="Times New Roman" w:hAnsi="Times New Roman"/>
          <w:color w:val="767171" w:themeColor="background2" w:themeShade="80"/>
          <w:sz w:val="24"/>
          <w:szCs w:val="24"/>
        </w:rPr>
        <w:t>s brindados por la misma</w:t>
      </w:r>
      <w:r w:rsidRPr="00B16EA8">
        <w:rPr>
          <w:rFonts w:ascii="Times New Roman" w:hAnsi="Times New Roman"/>
          <w:color w:val="767171" w:themeColor="background2" w:themeShade="80"/>
          <w:sz w:val="24"/>
          <w:szCs w:val="24"/>
        </w:rPr>
        <w:t>, teniendo como meta la satisfacción de los ciudadanos y la contribución al crecimiento del país a través de la r</w:t>
      </w:r>
      <w:r w:rsidR="006271CF">
        <w:rPr>
          <w:rFonts w:ascii="Times New Roman" w:hAnsi="Times New Roman"/>
          <w:color w:val="767171" w:themeColor="background2" w:themeShade="80"/>
          <w:sz w:val="24"/>
          <w:szCs w:val="24"/>
        </w:rPr>
        <w:t>educción de los gastos públicos y una administración eficiente de los bienes del Estado Dominicano.</w:t>
      </w:r>
      <w:r w:rsidRPr="00B16EA8">
        <w:rPr>
          <w:rFonts w:ascii="Times New Roman" w:hAnsi="Times New Roman"/>
          <w:color w:val="767171" w:themeColor="background2" w:themeShade="80"/>
          <w:sz w:val="24"/>
          <w:szCs w:val="24"/>
        </w:rPr>
        <w:t xml:space="preserve"> </w:t>
      </w:r>
    </w:p>
    <w:p w:rsidR="00587AD0" w:rsidRPr="00B16EA8" w:rsidRDefault="00587AD0" w:rsidP="007455EE">
      <w:pPr>
        <w:pStyle w:val="Textonotasalpie"/>
        <w:spacing w:line="360" w:lineRule="auto"/>
        <w:rPr>
          <w:rFonts w:ascii="Times New Roman" w:hAnsi="Times New Roman"/>
          <w:color w:val="767171" w:themeColor="background2" w:themeShade="80"/>
          <w:sz w:val="24"/>
          <w:szCs w:val="24"/>
        </w:rPr>
      </w:pPr>
      <w:r w:rsidRPr="00587AD0">
        <w:rPr>
          <w:rFonts w:ascii="Times New Roman" w:hAnsi="Times New Roman"/>
          <w:color w:val="767171" w:themeColor="background2" w:themeShade="80"/>
          <w:sz w:val="24"/>
          <w:szCs w:val="24"/>
        </w:rPr>
        <w:t>La Dirección General de Bienes Nacionales se ha enfocado arduamente a dar seguimiento y monitoreo de cada una de las actividades establecidas en el Plan Operativo Anual 2022 donde hasta la fecha a nivel general la institución ha logrado el cumplimiento del 14.74% del total establecido en el mismo y se sigue trabajando para lograr el 100% y con esto seguir avanzando al cumplimiento de las metas instituciones establecidas en nuestro Plan Estratégico Institucional 2020 – 2024 siempre alineado a nuestra misión y en</w:t>
      </w:r>
      <w:r>
        <w:rPr>
          <w:rFonts w:ascii="Times New Roman" w:hAnsi="Times New Roman"/>
          <w:color w:val="767171" w:themeColor="background2" w:themeShade="80"/>
          <w:sz w:val="24"/>
          <w:szCs w:val="24"/>
        </w:rPr>
        <w:t xml:space="preserve"> miras de lograr nuestra visión.</w:t>
      </w:r>
    </w:p>
    <w:p w:rsidR="00DC2C66" w:rsidRDefault="00587AD0" w:rsidP="007455EE">
      <w:pPr>
        <w:pStyle w:val="Textonotasalpie"/>
        <w:spacing w:line="360" w:lineRule="auto"/>
        <w:rPr>
          <w:rFonts w:ascii="Times New Roman" w:hAnsi="Times New Roman"/>
          <w:color w:val="767171"/>
          <w:sz w:val="24"/>
          <w:szCs w:val="24"/>
        </w:rPr>
      </w:pPr>
      <w:r>
        <w:rPr>
          <w:rFonts w:ascii="Times New Roman" w:hAnsi="Times New Roman"/>
          <w:color w:val="767171"/>
          <w:sz w:val="24"/>
          <w:szCs w:val="24"/>
        </w:rPr>
        <w:t xml:space="preserve">El </w:t>
      </w:r>
      <w:r w:rsidR="00DC2C66" w:rsidRPr="00711D14">
        <w:rPr>
          <w:rFonts w:ascii="Times New Roman" w:hAnsi="Times New Roman"/>
          <w:color w:val="767171"/>
          <w:sz w:val="24"/>
          <w:szCs w:val="24"/>
        </w:rPr>
        <w:t>presente informe busca detallar los avances y los log</w:t>
      </w:r>
      <w:r w:rsidR="006271CF">
        <w:rPr>
          <w:rFonts w:ascii="Times New Roman" w:hAnsi="Times New Roman"/>
          <w:color w:val="767171"/>
          <w:sz w:val="24"/>
          <w:szCs w:val="24"/>
        </w:rPr>
        <w:t xml:space="preserve">ros de las principales acciones y productos establecidos en el Plan Operativo Anual 2022 </w:t>
      </w:r>
      <w:r>
        <w:rPr>
          <w:rFonts w:ascii="Times New Roman" w:hAnsi="Times New Roman"/>
          <w:color w:val="767171"/>
          <w:sz w:val="24"/>
          <w:szCs w:val="24"/>
        </w:rPr>
        <w:t xml:space="preserve">por áreas o departamentos </w:t>
      </w:r>
      <w:r w:rsidR="00DC2C66" w:rsidRPr="00711D14">
        <w:rPr>
          <w:rFonts w:ascii="Times New Roman" w:hAnsi="Times New Roman"/>
          <w:color w:val="767171"/>
          <w:sz w:val="24"/>
          <w:szCs w:val="24"/>
        </w:rPr>
        <w:t xml:space="preserve">realizadas por la institución, las cuales fueron la siguiente: </w:t>
      </w:r>
    </w:p>
    <w:p w:rsidR="00587AD0" w:rsidRDefault="00587AD0" w:rsidP="007455EE">
      <w:pPr>
        <w:pStyle w:val="Textonotasalpie"/>
        <w:spacing w:line="360" w:lineRule="auto"/>
        <w:rPr>
          <w:rFonts w:ascii="Times New Roman" w:hAnsi="Times New Roman"/>
          <w:color w:val="767171"/>
          <w:sz w:val="24"/>
          <w:szCs w:val="24"/>
        </w:rPr>
      </w:pPr>
      <w:r>
        <w:rPr>
          <w:rFonts w:ascii="Times New Roman" w:hAnsi="Times New Roman"/>
          <w:color w:val="767171"/>
          <w:sz w:val="24"/>
          <w:szCs w:val="24"/>
        </w:rPr>
        <w:t>A través de la</w:t>
      </w:r>
      <w:r w:rsidR="00A83BA5">
        <w:rPr>
          <w:rFonts w:ascii="Times New Roman" w:hAnsi="Times New Roman"/>
          <w:color w:val="767171"/>
          <w:sz w:val="24"/>
          <w:szCs w:val="24"/>
        </w:rPr>
        <w:t xml:space="preserve"> Dirección Administrativa han realizado en un 100% encuestas de satisfacción sobre el uso y servicio ofrecido a través de la sección de transportación con el fin de mejorar la calidad de los servicios que ofrece el mismo a los</w:t>
      </w:r>
    </w:p>
    <w:p w:rsidR="00A83BA5" w:rsidRDefault="00587AD0" w:rsidP="007455EE">
      <w:pPr>
        <w:pStyle w:val="Textonotasalpie"/>
        <w:spacing w:line="360" w:lineRule="auto"/>
        <w:rPr>
          <w:rFonts w:ascii="Times New Roman" w:hAnsi="Times New Roman"/>
          <w:color w:val="767171"/>
          <w:sz w:val="24"/>
          <w:szCs w:val="24"/>
        </w:rPr>
      </w:pPr>
      <w:r>
        <w:rPr>
          <w:rFonts w:ascii="Times New Roman" w:hAnsi="Times New Roman"/>
          <w:color w:val="767171"/>
          <w:sz w:val="24"/>
          <w:szCs w:val="24"/>
        </w:rPr>
        <w:lastRenderedPageBreak/>
        <w:t>Colaboradores</w:t>
      </w:r>
      <w:r w:rsidR="00A83BA5">
        <w:rPr>
          <w:rFonts w:ascii="Times New Roman" w:hAnsi="Times New Roman"/>
          <w:color w:val="767171"/>
          <w:sz w:val="24"/>
          <w:szCs w:val="24"/>
        </w:rPr>
        <w:t xml:space="preserve"> de la institución. Por otro lado bajo la sección de mantenimiento se ha elaborado en un 60% un plan de mantenimiento preventivo. En la sección de mayordomía se elaboraron en un 1005 los formularios de verificación, cumplimiento e inspección de la limpieza interna de la institución con el fin de mantener un nivel de higiene óptimo para que los colaboradores puedan realizar sus laborales cotidianas con menor riesgo a </w:t>
      </w:r>
      <w:r w:rsidR="00A15264">
        <w:rPr>
          <w:rFonts w:ascii="Times New Roman" w:hAnsi="Times New Roman"/>
          <w:color w:val="767171"/>
          <w:sz w:val="24"/>
          <w:szCs w:val="24"/>
        </w:rPr>
        <w:t>infectarse o enfermarse. En otro orden, el departamento de compras y contrataciones ha elaborado en un 50% las políticas de responsabilidad ambiental para los oferentes. La Dirección Administrativa con estos avances ha logrado alcanzar un total de 18.5% del 100% de sus productos establecidos en el POA 2022.</w:t>
      </w:r>
    </w:p>
    <w:p w:rsidR="00A15264" w:rsidRDefault="00A15264" w:rsidP="007455EE">
      <w:pPr>
        <w:pStyle w:val="Textonotasalpie"/>
        <w:spacing w:line="360" w:lineRule="auto"/>
        <w:rPr>
          <w:rFonts w:ascii="Times New Roman" w:hAnsi="Times New Roman"/>
          <w:color w:val="767171"/>
          <w:sz w:val="24"/>
          <w:szCs w:val="24"/>
        </w:rPr>
      </w:pPr>
      <w:r>
        <w:rPr>
          <w:rFonts w:ascii="Times New Roman" w:hAnsi="Times New Roman"/>
          <w:color w:val="767171"/>
          <w:sz w:val="24"/>
          <w:szCs w:val="24"/>
        </w:rPr>
        <w:t xml:space="preserve">La Dirección de Coordinación de Oficinas Provinciales ha entregado </w:t>
      </w:r>
      <w:r w:rsidR="00381AC3">
        <w:rPr>
          <w:rFonts w:ascii="Times New Roman" w:hAnsi="Times New Roman"/>
          <w:color w:val="767171"/>
          <w:sz w:val="24"/>
          <w:szCs w:val="24"/>
        </w:rPr>
        <w:t>tres (</w:t>
      </w:r>
      <w:r>
        <w:rPr>
          <w:rFonts w:ascii="Times New Roman" w:hAnsi="Times New Roman"/>
          <w:color w:val="767171"/>
          <w:sz w:val="24"/>
          <w:szCs w:val="24"/>
        </w:rPr>
        <w:t>3</w:t>
      </w:r>
      <w:r w:rsidR="00381AC3">
        <w:rPr>
          <w:rFonts w:ascii="Times New Roman" w:hAnsi="Times New Roman"/>
          <w:color w:val="767171"/>
          <w:sz w:val="24"/>
          <w:szCs w:val="24"/>
        </w:rPr>
        <w:t>)</w:t>
      </w:r>
      <w:r>
        <w:rPr>
          <w:rFonts w:ascii="Times New Roman" w:hAnsi="Times New Roman"/>
          <w:color w:val="767171"/>
          <w:sz w:val="24"/>
          <w:szCs w:val="24"/>
        </w:rPr>
        <w:t xml:space="preserve"> informes de trabajos de los </w:t>
      </w:r>
      <w:r w:rsidR="00381AC3">
        <w:rPr>
          <w:rFonts w:ascii="Times New Roman" w:hAnsi="Times New Roman"/>
          <w:color w:val="767171"/>
          <w:sz w:val="24"/>
          <w:szCs w:val="24"/>
        </w:rPr>
        <w:t>doce (1</w:t>
      </w:r>
      <w:r>
        <w:rPr>
          <w:rFonts w:ascii="Times New Roman" w:hAnsi="Times New Roman"/>
          <w:color w:val="767171"/>
          <w:sz w:val="24"/>
          <w:szCs w:val="24"/>
        </w:rPr>
        <w:t>2</w:t>
      </w:r>
      <w:r w:rsidR="00381AC3">
        <w:rPr>
          <w:rFonts w:ascii="Times New Roman" w:hAnsi="Times New Roman"/>
          <w:color w:val="767171"/>
          <w:sz w:val="24"/>
          <w:szCs w:val="24"/>
        </w:rPr>
        <w:t>)</w:t>
      </w:r>
      <w:r>
        <w:rPr>
          <w:rFonts w:ascii="Times New Roman" w:hAnsi="Times New Roman"/>
          <w:color w:val="767171"/>
          <w:sz w:val="24"/>
          <w:szCs w:val="24"/>
        </w:rPr>
        <w:t xml:space="preserve"> establecidos en su POA, </w:t>
      </w:r>
      <w:r w:rsidR="00381AC3">
        <w:rPr>
          <w:rFonts w:ascii="Times New Roman" w:hAnsi="Times New Roman"/>
          <w:color w:val="767171"/>
          <w:sz w:val="24"/>
          <w:szCs w:val="24"/>
        </w:rPr>
        <w:t>tres (</w:t>
      </w:r>
      <w:r>
        <w:rPr>
          <w:rFonts w:ascii="Times New Roman" w:hAnsi="Times New Roman"/>
          <w:color w:val="767171"/>
          <w:sz w:val="24"/>
          <w:szCs w:val="24"/>
        </w:rPr>
        <w:t>3</w:t>
      </w:r>
      <w:r w:rsidR="00381AC3">
        <w:rPr>
          <w:rFonts w:ascii="Times New Roman" w:hAnsi="Times New Roman"/>
          <w:color w:val="767171"/>
          <w:sz w:val="24"/>
          <w:szCs w:val="24"/>
        </w:rPr>
        <w:t>)</w:t>
      </w:r>
      <w:r>
        <w:rPr>
          <w:rFonts w:ascii="Times New Roman" w:hAnsi="Times New Roman"/>
          <w:color w:val="767171"/>
          <w:sz w:val="24"/>
          <w:szCs w:val="24"/>
        </w:rPr>
        <w:t xml:space="preserve"> reportes de cobros, ha realizado la adecuación de la infraestructura de la oficina provincial de Azua y el equipamiento de la oficina provincial de Barahona obteniendo con esto un avance total de 18.8% del 100% que tienen planificado para este 2022.</w:t>
      </w:r>
    </w:p>
    <w:p w:rsidR="00351E36" w:rsidRDefault="00381AC3" w:rsidP="007455EE">
      <w:pPr>
        <w:pStyle w:val="Textonotasalpie"/>
        <w:spacing w:line="360" w:lineRule="auto"/>
        <w:rPr>
          <w:rFonts w:ascii="Times New Roman" w:hAnsi="Times New Roman"/>
          <w:color w:val="767171"/>
          <w:sz w:val="24"/>
          <w:szCs w:val="24"/>
        </w:rPr>
      </w:pPr>
      <w:r>
        <w:rPr>
          <w:rFonts w:ascii="Times New Roman" w:hAnsi="Times New Roman"/>
          <w:color w:val="767171"/>
          <w:sz w:val="24"/>
          <w:szCs w:val="24"/>
        </w:rPr>
        <w:t xml:space="preserve">La institución a través de la Dirección Técnica y sus dependencias han podido entregar doscientos treinta y dos (232) informes técnicos, doscientos setenta y ocho (278) planos con determinaciones de área de solares, setenta y uno (71) determinaciones de área de edificaciones en proyectos habitacionales y locales comerciales, veinte y cuatro (24) informes de determinaciones de área, ciento cuarenta y cuatro (144) informes de determinación de ubicación catastral, cincuenta y nueve (59) informes de inspección para solucionar conflictos en los inmuebles, se gestionó y desarrollo en un 100% el Sistema </w:t>
      </w:r>
      <w:r w:rsidRPr="00381AC3">
        <w:rPr>
          <w:rFonts w:ascii="Times New Roman" w:hAnsi="Times New Roman"/>
          <w:color w:val="767171"/>
          <w:sz w:val="24"/>
          <w:szCs w:val="24"/>
        </w:rPr>
        <w:t>de Archivo Digital de documentos  técnicos</w:t>
      </w:r>
      <w:r w:rsidR="00351E36">
        <w:rPr>
          <w:rFonts w:ascii="Times New Roman" w:hAnsi="Times New Roman"/>
          <w:color w:val="767171"/>
          <w:sz w:val="24"/>
          <w:szCs w:val="24"/>
        </w:rPr>
        <w:t>, el mismo está en espera de su implementación, se entregaron cincuenta y nueve (59) copias de certificaciones, expedientes y planos catastrales, se realizó un informe de investigación sobre el estado de un bien inmueble, obteniendo un total de ejecución de 8.3% de lo establecido por esta Dirección.</w:t>
      </w:r>
    </w:p>
    <w:p w:rsidR="00A15264" w:rsidRDefault="00351E36" w:rsidP="007455EE">
      <w:pPr>
        <w:pStyle w:val="Textonotasalpie"/>
        <w:spacing w:line="360" w:lineRule="auto"/>
        <w:rPr>
          <w:rFonts w:ascii="Times New Roman" w:hAnsi="Times New Roman"/>
          <w:color w:val="767171"/>
          <w:sz w:val="24"/>
          <w:szCs w:val="24"/>
        </w:rPr>
      </w:pPr>
      <w:r>
        <w:rPr>
          <w:rFonts w:ascii="Times New Roman" w:hAnsi="Times New Roman"/>
          <w:color w:val="767171"/>
          <w:sz w:val="24"/>
          <w:szCs w:val="24"/>
        </w:rPr>
        <w:lastRenderedPageBreak/>
        <w:t xml:space="preserve">En la Dirección de Inventario ciento cincuenta y cuatro (154) instituciones remitieron sus inventarios de bienes muebles y cuarenta y siete (47) de bienes inmuebles, en ese mismo orden treinta y una (31) instituciones autónomas no financieras remitieron sus inventarios. En otro orden, se trabajaron trece (13) solicitudes departamentales de movimientos de activos y de vehículos, </w:t>
      </w:r>
      <w:r w:rsidR="002677C0">
        <w:rPr>
          <w:rFonts w:ascii="Times New Roman" w:hAnsi="Times New Roman"/>
          <w:color w:val="767171"/>
          <w:sz w:val="24"/>
          <w:szCs w:val="24"/>
        </w:rPr>
        <w:t>nueve (9) solicitudes de reasignacio</w:t>
      </w:r>
      <w:r w:rsidRPr="00351E36">
        <w:rPr>
          <w:rFonts w:ascii="Times New Roman" w:hAnsi="Times New Roman"/>
          <w:color w:val="767171"/>
          <w:sz w:val="24"/>
          <w:szCs w:val="24"/>
        </w:rPr>
        <w:t>n</w:t>
      </w:r>
      <w:r w:rsidR="002677C0">
        <w:rPr>
          <w:rFonts w:ascii="Times New Roman" w:hAnsi="Times New Roman"/>
          <w:color w:val="767171"/>
          <w:sz w:val="24"/>
          <w:szCs w:val="24"/>
        </w:rPr>
        <w:t>es</w:t>
      </w:r>
      <w:r w:rsidRPr="00351E36">
        <w:rPr>
          <w:rFonts w:ascii="Times New Roman" w:hAnsi="Times New Roman"/>
          <w:color w:val="767171"/>
          <w:sz w:val="24"/>
          <w:szCs w:val="24"/>
        </w:rPr>
        <w:t xml:space="preserve"> y transferencias de mobiliarios y equipos </w:t>
      </w:r>
      <w:r w:rsidR="002677C0">
        <w:rPr>
          <w:rFonts w:ascii="Times New Roman" w:hAnsi="Times New Roman"/>
          <w:color w:val="767171"/>
          <w:sz w:val="24"/>
          <w:szCs w:val="24"/>
        </w:rPr>
        <w:t xml:space="preserve">de manera interna, veinticuatro (24) de manera externa. Se adecuó en un 100% el depósito de </w:t>
      </w:r>
      <w:r w:rsidR="002677C0" w:rsidRPr="002677C0">
        <w:rPr>
          <w:rFonts w:ascii="Times New Roman" w:hAnsi="Times New Roman"/>
          <w:color w:val="767171"/>
          <w:sz w:val="24"/>
          <w:szCs w:val="24"/>
        </w:rPr>
        <w:t>bienes muebles y vehículos</w:t>
      </w:r>
      <w:r w:rsidR="002677C0">
        <w:rPr>
          <w:rFonts w:ascii="Times New Roman" w:hAnsi="Times New Roman"/>
          <w:color w:val="767171"/>
          <w:sz w:val="24"/>
          <w:szCs w:val="24"/>
        </w:rPr>
        <w:t xml:space="preserve">, se implementó la integración sistemática de los módulos de activos e inventarios de Microsoft Dynamics 365 a la Dirección General de Bienes Nacionales en un 100%, se creó en un 100% la Unidad de Activos Fijos para el manejo de los activos fijos internos de la institución obteniendo con esto una mayor transparencia y control de los mismos, en ese mismo orden se transfirió en un 100% el proceso de los descargos realizados anteriormente por el departamento de Subastas, a la Dirección de Inventario con el objetivo de regularizar, transparentar y realizar un trabajo mayor eficiente. La Dirección de inventario para este trimestre ha logrado un avance total significativo obteniendo un 35.1% de </w:t>
      </w:r>
      <w:r w:rsidR="00A7775C">
        <w:rPr>
          <w:rFonts w:ascii="Times New Roman" w:hAnsi="Times New Roman"/>
          <w:color w:val="767171"/>
          <w:sz w:val="24"/>
          <w:szCs w:val="24"/>
        </w:rPr>
        <w:t>su POA 2022.</w:t>
      </w:r>
    </w:p>
    <w:p w:rsidR="00A7775C" w:rsidRDefault="00A7775C" w:rsidP="007455EE">
      <w:pPr>
        <w:pStyle w:val="Textonotasalpie"/>
        <w:spacing w:line="360" w:lineRule="auto"/>
        <w:rPr>
          <w:rFonts w:ascii="Times New Roman" w:hAnsi="Times New Roman"/>
          <w:color w:val="767171"/>
          <w:sz w:val="24"/>
          <w:szCs w:val="24"/>
        </w:rPr>
      </w:pPr>
      <w:r>
        <w:rPr>
          <w:rFonts w:ascii="Times New Roman" w:hAnsi="Times New Roman"/>
          <w:color w:val="767171"/>
          <w:sz w:val="24"/>
          <w:szCs w:val="24"/>
        </w:rPr>
        <w:t xml:space="preserve">En el Departamento de Recursos humanos a través del Programa de Adiestramiento en Administración, Preservación y Reparación de Bienes se han recuperados trece (13) mobiliarios. Por </w:t>
      </w:r>
      <w:r w:rsidR="006A0CE3">
        <w:rPr>
          <w:rFonts w:ascii="Times New Roman" w:hAnsi="Times New Roman"/>
          <w:color w:val="767171"/>
          <w:sz w:val="24"/>
          <w:szCs w:val="24"/>
        </w:rPr>
        <w:t xml:space="preserve">otro lado se han realizado dos (2) actividades de integración orientada a la misión, visión y valores de la institución, una (1) charla de salud ocupacional, una (1) jornada de salud ocupacional, dos (2) capacitaciones de los recursos humanos de la institución y se formaron dos (2) equipos deportivos para fomentar la integración de los colaboradores, obteniendo con esto un avance total de un 22.9% de lo establecido. </w:t>
      </w:r>
    </w:p>
    <w:p w:rsidR="006A0CE3" w:rsidRDefault="006A0CE3" w:rsidP="007455EE">
      <w:pPr>
        <w:pStyle w:val="Textonotasalpie"/>
        <w:spacing w:line="360" w:lineRule="auto"/>
        <w:rPr>
          <w:rFonts w:ascii="Times New Roman" w:hAnsi="Times New Roman"/>
          <w:color w:val="767171"/>
          <w:sz w:val="24"/>
          <w:szCs w:val="24"/>
        </w:rPr>
      </w:pPr>
      <w:r>
        <w:rPr>
          <w:rFonts w:ascii="Times New Roman" w:hAnsi="Times New Roman"/>
          <w:color w:val="767171"/>
          <w:sz w:val="24"/>
          <w:szCs w:val="24"/>
        </w:rPr>
        <w:t xml:space="preserve">La Dirección Legal y sus dependencias han trabajado treinta y dos (32) certificaciones de No Objeción a Deslinde, se han revisado el 25% de los bienes inmuebles transferidos por la Dirección General de Catastro Nacional </w:t>
      </w:r>
      <w:r w:rsidR="002047F5">
        <w:rPr>
          <w:rFonts w:ascii="Times New Roman" w:hAnsi="Times New Roman"/>
          <w:color w:val="767171"/>
          <w:sz w:val="24"/>
          <w:szCs w:val="24"/>
        </w:rPr>
        <w:t xml:space="preserve">a través del PROGEF que pertenecen al </w:t>
      </w:r>
      <w:r w:rsidR="002047F5" w:rsidRPr="002047F5">
        <w:rPr>
          <w:rFonts w:ascii="Times New Roman" w:hAnsi="Times New Roman"/>
          <w:color w:val="767171"/>
          <w:sz w:val="24"/>
          <w:szCs w:val="24"/>
        </w:rPr>
        <w:t>Ministerio de Educación,</w:t>
      </w:r>
      <w:r w:rsidR="002047F5">
        <w:rPr>
          <w:rFonts w:ascii="Times New Roman" w:hAnsi="Times New Roman"/>
          <w:color w:val="767171"/>
          <w:sz w:val="24"/>
          <w:szCs w:val="24"/>
        </w:rPr>
        <w:t xml:space="preserve"> Ministerio de</w:t>
      </w:r>
      <w:r w:rsidR="002047F5" w:rsidRPr="002047F5">
        <w:rPr>
          <w:rFonts w:ascii="Times New Roman" w:hAnsi="Times New Roman"/>
          <w:color w:val="767171"/>
          <w:sz w:val="24"/>
          <w:szCs w:val="24"/>
        </w:rPr>
        <w:t xml:space="preserve"> Salud </w:t>
      </w:r>
      <w:r w:rsidR="00587AD0" w:rsidRPr="002047F5">
        <w:rPr>
          <w:rFonts w:ascii="Times New Roman" w:hAnsi="Times New Roman"/>
          <w:color w:val="767171"/>
          <w:sz w:val="24"/>
          <w:szCs w:val="24"/>
        </w:rPr>
        <w:t>Pública</w:t>
      </w:r>
      <w:r w:rsidR="002047F5" w:rsidRPr="002047F5">
        <w:rPr>
          <w:rFonts w:ascii="Times New Roman" w:hAnsi="Times New Roman"/>
          <w:color w:val="767171"/>
          <w:sz w:val="24"/>
          <w:szCs w:val="24"/>
        </w:rPr>
        <w:t xml:space="preserve">, </w:t>
      </w:r>
      <w:r w:rsidR="002047F5" w:rsidRPr="002047F5">
        <w:rPr>
          <w:rFonts w:ascii="Times New Roman" w:hAnsi="Times New Roman"/>
          <w:color w:val="767171"/>
          <w:sz w:val="24"/>
          <w:szCs w:val="24"/>
        </w:rPr>
        <w:lastRenderedPageBreak/>
        <w:t xml:space="preserve">Ministerio de Defensa, </w:t>
      </w:r>
      <w:r w:rsidR="002047F5">
        <w:rPr>
          <w:rFonts w:ascii="Times New Roman" w:hAnsi="Times New Roman"/>
          <w:color w:val="767171"/>
          <w:sz w:val="24"/>
          <w:szCs w:val="24"/>
        </w:rPr>
        <w:t xml:space="preserve">Ministerio de Interior y Policía, se han entregado doscientos noventa y cuatro (294) Estatus Jurídicos, dos (2) depósitos de títulos, diez (10) casos de procesos litigiosos finalizados, veintiséis (26) descargos, se elaboró un contrato de apartamento y/o vivienda, cuatro (4) contratos de terrenos y adendun de los mismos, se obtuvieron cuatro (4) poderes de la Presidencia, diez (10) certificaciones de propiedades y No Objeción a bienes de familia obtenidos y setenta y tres (73) expedientes remitidos. La misma ha obtenido un avance total de 6.5% del total planificado. </w:t>
      </w:r>
    </w:p>
    <w:p w:rsidR="002047F5" w:rsidRDefault="002047F5" w:rsidP="007455EE">
      <w:pPr>
        <w:pStyle w:val="Textonotasalpie"/>
        <w:spacing w:line="360" w:lineRule="auto"/>
        <w:rPr>
          <w:rFonts w:ascii="Times New Roman" w:hAnsi="Times New Roman"/>
          <w:color w:val="767171"/>
          <w:sz w:val="24"/>
          <w:szCs w:val="24"/>
        </w:rPr>
      </w:pPr>
      <w:r>
        <w:rPr>
          <w:rFonts w:ascii="Times New Roman" w:hAnsi="Times New Roman"/>
          <w:color w:val="767171"/>
          <w:sz w:val="24"/>
          <w:szCs w:val="24"/>
        </w:rPr>
        <w:t xml:space="preserve">La </w:t>
      </w:r>
      <w:r w:rsidR="002E5D4D">
        <w:rPr>
          <w:rFonts w:ascii="Times New Roman" w:hAnsi="Times New Roman"/>
          <w:color w:val="767171"/>
          <w:sz w:val="24"/>
          <w:szCs w:val="24"/>
        </w:rPr>
        <w:t>Dirección</w:t>
      </w:r>
      <w:r>
        <w:rPr>
          <w:rFonts w:ascii="Times New Roman" w:hAnsi="Times New Roman"/>
          <w:color w:val="767171"/>
          <w:sz w:val="24"/>
          <w:szCs w:val="24"/>
        </w:rPr>
        <w:t xml:space="preserve"> Financiera de la institución ha automatizado el 25% de los procesos financieros realizados en la institución, ha entregado tres (3) informes de ejecución presupuestaria, han entregado el 25% de las certificaciones</w:t>
      </w:r>
      <w:r w:rsidR="002E5D4D">
        <w:rPr>
          <w:rFonts w:ascii="Times New Roman" w:hAnsi="Times New Roman"/>
          <w:color w:val="767171"/>
          <w:sz w:val="24"/>
          <w:szCs w:val="24"/>
        </w:rPr>
        <w:t>, autorizaciones de pagos y estados</w:t>
      </w:r>
      <w:r>
        <w:rPr>
          <w:rFonts w:ascii="Times New Roman" w:hAnsi="Times New Roman"/>
          <w:color w:val="767171"/>
          <w:sz w:val="24"/>
          <w:szCs w:val="24"/>
        </w:rPr>
        <w:t xml:space="preserve"> de cuentas de clientes, </w:t>
      </w:r>
      <w:r w:rsidR="002E5D4D">
        <w:rPr>
          <w:rFonts w:ascii="Times New Roman" w:hAnsi="Times New Roman"/>
          <w:color w:val="767171"/>
          <w:sz w:val="24"/>
          <w:szCs w:val="24"/>
        </w:rPr>
        <w:t>se elaboraron tres (</w:t>
      </w:r>
      <w:r w:rsidR="007455EE">
        <w:rPr>
          <w:rFonts w:ascii="Times New Roman" w:hAnsi="Times New Roman"/>
          <w:color w:val="767171"/>
          <w:sz w:val="24"/>
          <w:szCs w:val="24"/>
        </w:rPr>
        <w:t>3) informes de ingresos y se han</w:t>
      </w:r>
      <w:r w:rsidR="002E5D4D">
        <w:rPr>
          <w:rFonts w:ascii="Times New Roman" w:hAnsi="Times New Roman"/>
          <w:color w:val="767171"/>
          <w:sz w:val="24"/>
          <w:szCs w:val="24"/>
        </w:rPr>
        <w:t xml:space="preserve"> </w:t>
      </w:r>
      <w:r w:rsidR="007455EE">
        <w:rPr>
          <w:rFonts w:ascii="Times New Roman" w:hAnsi="Times New Roman"/>
          <w:color w:val="767171"/>
          <w:sz w:val="24"/>
          <w:szCs w:val="24"/>
        </w:rPr>
        <w:t>creado el</w:t>
      </w:r>
      <w:r w:rsidR="002E5D4D">
        <w:rPr>
          <w:rFonts w:ascii="Times New Roman" w:hAnsi="Times New Roman"/>
          <w:color w:val="767171"/>
          <w:sz w:val="24"/>
          <w:szCs w:val="24"/>
        </w:rPr>
        <w:t xml:space="preserve"> 25% de las cuentas a clientes, obteniendo un avance total de un 15% de lo establecido para este año 2022.  </w:t>
      </w:r>
    </w:p>
    <w:p w:rsidR="00A7775C" w:rsidRDefault="002E5D4D" w:rsidP="007455EE">
      <w:pPr>
        <w:pStyle w:val="Textonotasalpie"/>
        <w:spacing w:line="360" w:lineRule="auto"/>
        <w:rPr>
          <w:rFonts w:ascii="Times New Roman" w:hAnsi="Times New Roman"/>
          <w:color w:val="767171"/>
          <w:sz w:val="24"/>
          <w:szCs w:val="24"/>
        </w:rPr>
      </w:pPr>
      <w:r>
        <w:rPr>
          <w:rFonts w:ascii="Times New Roman" w:hAnsi="Times New Roman"/>
          <w:color w:val="767171"/>
          <w:sz w:val="24"/>
          <w:szCs w:val="24"/>
        </w:rPr>
        <w:t>La Dirección de Tecnología de la Información y Comunicación ha desarrollado el sistema de gestión de la información para dar seguimiento a los expedientes dentro de la institución, en ese mismo orden, ha desarrolla e implementado los sistemas de planificación para el seguimiento y monitoreo de los trabajos realizados dentro del PROGEF, también el sistema de titulación y el de inventario para tener un avance total de un 15%.</w:t>
      </w:r>
    </w:p>
    <w:p w:rsidR="002E5D4D" w:rsidRDefault="002E5D4D" w:rsidP="007455EE">
      <w:pPr>
        <w:pStyle w:val="Textonotasalpie"/>
        <w:spacing w:line="360" w:lineRule="auto"/>
        <w:rPr>
          <w:rFonts w:ascii="Times New Roman" w:hAnsi="Times New Roman"/>
          <w:color w:val="767171"/>
          <w:sz w:val="24"/>
          <w:szCs w:val="24"/>
        </w:rPr>
      </w:pPr>
      <w:r>
        <w:rPr>
          <w:rFonts w:ascii="Times New Roman" w:hAnsi="Times New Roman"/>
          <w:color w:val="767171"/>
          <w:sz w:val="24"/>
          <w:szCs w:val="24"/>
        </w:rPr>
        <w:t xml:space="preserve">A través de Libre Acceso a la Información Publica seguimos trabajando en el fortalecimiento </w:t>
      </w:r>
      <w:r w:rsidR="0048138E">
        <w:rPr>
          <w:rFonts w:ascii="Times New Roman" w:hAnsi="Times New Roman"/>
          <w:color w:val="767171"/>
          <w:sz w:val="24"/>
          <w:szCs w:val="24"/>
        </w:rPr>
        <w:t xml:space="preserve">de la transparencia institucional hacia los ciudadanos y hemos respondido y atendido cada una de las solicitudes realizadas por los mismos vía el portal de transparencia para un total de cuarenta y seis (46) solicitudes dentro del trimestre enero – marzo 2022, obteniendo un total de avance de 19.2% de los planificado para este año. </w:t>
      </w:r>
    </w:p>
    <w:p w:rsidR="0048138E" w:rsidRDefault="0048138E" w:rsidP="007455EE">
      <w:pPr>
        <w:pStyle w:val="Textonotasalpie"/>
        <w:spacing w:line="360" w:lineRule="auto"/>
        <w:rPr>
          <w:rFonts w:ascii="Times New Roman" w:hAnsi="Times New Roman"/>
          <w:color w:val="767171"/>
          <w:sz w:val="24"/>
          <w:szCs w:val="24"/>
        </w:rPr>
      </w:pPr>
      <w:r>
        <w:rPr>
          <w:rFonts w:ascii="Times New Roman" w:hAnsi="Times New Roman"/>
          <w:color w:val="767171"/>
          <w:sz w:val="24"/>
          <w:szCs w:val="24"/>
        </w:rPr>
        <w:t xml:space="preserve">En el Departamento de Comunicaciones se ha revisado y actualizado en un 25% el plan de administración de las redes sociales, se realizó un (1) informe de </w:t>
      </w:r>
      <w:r>
        <w:rPr>
          <w:rFonts w:ascii="Times New Roman" w:hAnsi="Times New Roman"/>
          <w:color w:val="767171"/>
          <w:sz w:val="24"/>
          <w:szCs w:val="24"/>
        </w:rPr>
        <w:lastRenderedPageBreak/>
        <w:t>seguimiento del mismo, cuarenta y cuatro (44) avisos o servicios publicitarios, se han publicado veinticinco (25) eventos en el mural informativo de la institución, obteniendo un avance total de un 13.1%.</w:t>
      </w:r>
    </w:p>
    <w:p w:rsidR="007455EE" w:rsidRDefault="0048138E" w:rsidP="007455EE">
      <w:pPr>
        <w:pStyle w:val="Textonotasalpie"/>
        <w:spacing w:line="360" w:lineRule="auto"/>
        <w:rPr>
          <w:rFonts w:ascii="Times New Roman" w:hAnsi="Times New Roman"/>
          <w:color w:val="767171"/>
          <w:sz w:val="24"/>
          <w:szCs w:val="24"/>
        </w:rPr>
      </w:pPr>
      <w:r>
        <w:rPr>
          <w:rFonts w:ascii="Times New Roman" w:hAnsi="Times New Roman"/>
          <w:color w:val="767171"/>
          <w:sz w:val="24"/>
          <w:szCs w:val="24"/>
        </w:rPr>
        <w:t xml:space="preserve">En el Departamento de Planificación y Desarrollo se comenzó con la realización de la Encuesta de Satisfacción Nacional que hasta el momento se encuentra en un 25% de elaboración, se han elaborado doces (12) informes semanales, </w:t>
      </w:r>
      <w:r w:rsidR="005622EE">
        <w:rPr>
          <w:rFonts w:ascii="Times New Roman" w:hAnsi="Times New Roman"/>
          <w:color w:val="767171"/>
          <w:sz w:val="24"/>
          <w:szCs w:val="24"/>
        </w:rPr>
        <w:t xml:space="preserve">se ha elaborado y entregado a toda la institución un (1) </w:t>
      </w:r>
      <w:r w:rsidR="007455EE">
        <w:rPr>
          <w:rFonts w:ascii="Times New Roman" w:hAnsi="Times New Roman"/>
          <w:color w:val="767171"/>
          <w:sz w:val="24"/>
          <w:szCs w:val="24"/>
        </w:rPr>
        <w:t>Noti Planic</w:t>
      </w:r>
      <w:r w:rsidR="005622EE">
        <w:rPr>
          <w:rFonts w:ascii="Times New Roman" w:hAnsi="Times New Roman"/>
          <w:color w:val="767171"/>
          <w:sz w:val="24"/>
          <w:szCs w:val="24"/>
        </w:rPr>
        <w:t>, se analizó y realizó en un 100% el diagnóstico y validación de las terrenos entregados por la Dirección General de Catastro Nacional a través del PROGEF, se desarrolló en un 100% el diseño conceptual del Sistema de Seguimiento de Expedientes, como también el 100% de los términos de referencia del personal requerido técnico para el análisis y saneamiento legal de los expedientes del PROGEF, se actualizó en un 80% el Manual de Políticas y Procedimientos internos de la institución, Obtuvimos un 71% de puntuación en las Normas Básicas de Control Interno (NOBACI) y en la Gestión Marco Común de Evaluación – CAF se ha realizo un 25% del autodiagnóstico, obteniendo un avance total de 21%.</w:t>
      </w:r>
    </w:p>
    <w:p w:rsidR="00DC2C66" w:rsidRDefault="00DC2C66" w:rsidP="007455EE">
      <w:pPr>
        <w:spacing w:line="360" w:lineRule="auto"/>
        <w:rPr>
          <w:rFonts w:ascii="Times New Roman" w:hAnsi="Times New Roman"/>
          <w:color w:val="767171" w:themeColor="background2" w:themeShade="80"/>
          <w:sz w:val="24"/>
          <w:szCs w:val="24"/>
        </w:rPr>
      </w:pPr>
      <w:bookmarkStart w:id="1" w:name="_GoBack"/>
      <w:bookmarkEnd w:id="1"/>
    </w:p>
    <w:p w:rsidR="00DC2C66" w:rsidRDefault="00DC2C66" w:rsidP="007455EE">
      <w:pPr>
        <w:spacing w:line="360" w:lineRule="auto"/>
        <w:jc w:val="center"/>
        <w:rPr>
          <w:rFonts w:ascii="Times New Roman" w:hAnsi="Times New Roman"/>
          <w:color w:val="767171" w:themeColor="background2" w:themeShade="80"/>
          <w:sz w:val="24"/>
          <w:szCs w:val="24"/>
        </w:rPr>
      </w:pPr>
    </w:p>
    <w:p w:rsidR="00DC2C66" w:rsidRDefault="00DC2C66" w:rsidP="007455EE">
      <w:pPr>
        <w:spacing w:line="360" w:lineRule="auto"/>
        <w:rPr>
          <w:rFonts w:ascii="Times New Roman" w:hAnsi="Times New Roman"/>
          <w:color w:val="767171" w:themeColor="background2" w:themeShade="80"/>
          <w:sz w:val="24"/>
          <w:szCs w:val="24"/>
        </w:rPr>
      </w:pPr>
      <w:r>
        <w:rPr>
          <w:rFonts w:ascii="Times New Roman" w:hAnsi="Times New Roman"/>
          <w:color w:val="767171" w:themeColor="background2" w:themeShade="80"/>
          <w:sz w:val="24"/>
          <w:szCs w:val="24"/>
        </w:rPr>
        <w:t>___________</w:t>
      </w:r>
      <w:r w:rsidR="007455EE">
        <w:rPr>
          <w:rFonts w:ascii="Times New Roman" w:hAnsi="Times New Roman"/>
          <w:color w:val="767171" w:themeColor="background2" w:themeShade="80"/>
          <w:sz w:val="24"/>
          <w:szCs w:val="24"/>
        </w:rPr>
        <w:t xml:space="preserve">_______________                          </w:t>
      </w:r>
      <w:r>
        <w:rPr>
          <w:rFonts w:ascii="Times New Roman" w:hAnsi="Times New Roman"/>
          <w:color w:val="767171" w:themeColor="background2" w:themeShade="80"/>
          <w:sz w:val="24"/>
          <w:szCs w:val="24"/>
        </w:rPr>
        <w:t>___________________________</w:t>
      </w:r>
    </w:p>
    <w:p w:rsidR="00DC2C66" w:rsidRPr="00EA407A" w:rsidRDefault="00DC2C66" w:rsidP="007455EE">
      <w:pPr>
        <w:spacing w:after="0" w:line="240" w:lineRule="auto"/>
        <w:jc w:val="center"/>
        <w:rPr>
          <w:rFonts w:ascii="Times New Roman" w:hAnsi="Times New Roman"/>
          <w:b/>
          <w:color w:val="767171" w:themeColor="background2" w:themeShade="80"/>
          <w:sz w:val="24"/>
          <w:szCs w:val="24"/>
        </w:rPr>
      </w:pPr>
      <w:proofErr w:type="spellStart"/>
      <w:r w:rsidRPr="00EA407A">
        <w:rPr>
          <w:rFonts w:ascii="Times New Roman" w:hAnsi="Times New Roman"/>
          <w:b/>
          <w:color w:val="767171" w:themeColor="background2" w:themeShade="80"/>
          <w:sz w:val="24"/>
          <w:szCs w:val="24"/>
        </w:rPr>
        <w:t>Damnia</w:t>
      </w:r>
      <w:proofErr w:type="spellEnd"/>
      <w:r w:rsidRPr="00EA407A">
        <w:rPr>
          <w:rFonts w:ascii="Times New Roman" w:hAnsi="Times New Roman"/>
          <w:b/>
          <w:color w:val="767171" w:themeColor="background2" w:themeShade="80"/>
          <w:sz w:val="24"/>
          <w:szCs w:val="24"/>
        </w:rPr>
        <w:t xml:space="preserve"> Gomera Alba</w:t>
      </w:r>
      <w:r w:rsidRPr="00EA407A">
        <w:rPr>
          <w:rFonts w:ascii="Times New Roman" w:hAnsi="Times New Roman"/>
          <w:b/>
          <w:color w:val="767171" w:themeColor="background2" w:themeShade="80"/>
          <w:sz w:val="24"/>
          <w:szCs w:val="24"/>
        </w:rPr>
        <w:tab/>
      </w:r>
      <w:r w:rsidRPr="00EA407A">
        <w:rPr>
          <w:rFonts w:ascii="Times New Roman" w:hAnsi="Times New Roman"/>
          <w:b/>
          <w:color w:val="767171" w:themeColor="background2" w:themeShade="80"/>
          <w:sz w:val="24"/>
          <w:szCs w:val="24"/>
        </w:rPr>
        <w:tab/>
      </w:r>
      <w:r>
        <w:rPr>
          <w:rFonts w:ascii="Times New Roman" w:hAnsi="Times New Roman"/>
          <w:b/>
          <w:color w:val="767171" w:themeColor="background2" w:themeShade="80"/>
          <w:sz w:val="24"/>
          <w:szCs w:val="24"/>
        </w:rPr>
        <w:t xml:space="preserve">                   </w:t>
      </w:r>
      <w:proofErr w:type="spellStart"/>
      <w:r w:rsidRPr="00EA407A">
        <w:rPr>
          <w:rFonts w:ascii="Times New Roman" w:hAnsi="Times New Roman"/>
          <w:b/>
          <w:color w:val="767171" w:themeColor="background2" w:themeShade="80"/>
          <w:sz w:val="24"/>
          <w:szCs w:val="24"/>
        </w:rPr>
        <w:t>Wilkin</w:t>
      </w:r>
      <w:proofErr w:type="spellEnd"/>
      <w:r w:rsidRPr="00EA407A">
        <w:rPr>
          <w:rFonts w:ascii="Times New Roman" w:hAnsi="Times New Roman"/>
          <w:b/>
          <w:color w:val="767171" w:themeColor="background2" w:themeShade="80"/>
          <w:sz w:val="24"/>
          <w:szCs w:val="24"/>
        </w:rPr>
        <w:t xml:space="preserve"> A. Moreno Abreu</w:t>
      </w:r>
    </w:p>
    <w:p w:rsidR="00DC2C66" w:rsidRDefault="007455EE" w:rsidP="007455EE">
      <w:pPr>
        <w:spacing w:after="0" w:line="240" w:lineRule="auto"/>
        <w:jc w:val="center"/>
        <w:rPr>
          <w:rFonts w:ascii="Times New Roman" w:hAnsi="Times New Roman"/>
          <w:color w:val="767171" w:themeColor="background2" w:themeShade="80"/>
          <w:sz w:val="24"/>
          <w:szCs w:val="24"/>
        </w:rPr>
      </w:pPr>
      <w:r>
        <w:rPr>
          <w:rFonts w:ascii="Times New Roman" w:hAnsi="Times New Roman"/>
          <w:color w:val="767171" w:themeColor="background2" w:themeShade="80"/>
          <w:sz w:val="24"/>
          <w:szCs w:val="24"/>
        </w:rPr>
        <w:t xml:space="preserve">       </w:t>
      </w:r>
      <w:r w:rsidR="00DC2C66">
        <w:rPr>
          <w:rFonts w:ascii="Times New Roman" w:hAnsi="Times New Roman"/>
          <w:color w:val="767171" w:themeColor="background2" w:themeShade="80"/>
          <w:sz w:val="24"/>
          <w:szCs w:val="24"/>
        </w:rPr>
        <w:t xml:space="preserve">Encargada de </w:t>
      </w:r>
      <w:r w:rsidR="00DC2C66">
        <w:rPr>
          <w:rFonts w:ascii="Times New Roman" w:hAnsi="Times New Roman"/>
          <w:color w:val="767171" w:themeColor="background2" w:themeShade="80"/>
          <w:sz w:val="24"/>
          <w:szCs w:val="24"/>
        </w:rPr>
        <w:tab/>
      </w:r>
      <w:r w:rsidR="00DC2C66">
        <w:rPr>
          <w:rFonts w:ascii="Times New Roman" w:hAnsi="Times New Roman"/>
          <w:color w:val="767171" w:themeColor="background2" w:themeShade="80"/>
          <w:sz w:val="24"/>
          <w:szCs w:val="24"/>
        </w:rPr>
        <w:tab/>
      </w:r>
      <w:r w:rsidR="00DC2C66">
        <w:rPr>
          <w:rFonts w:ascii="Times New Roman" w:hAnsi="Times New Roman"/>
          <w:color w:val="767171" w:themeColor="background2" w:themeShade="80"/>
          <w:sz w:val="24"/>
          <w:szCs w:val="24"/>
        </w:rPr>
        <w:tab/>
        <w:t xml:space="preserve">         </w:t>
      </w:r>
      <w:r>
        <w:rPr>
          <w:rFonts w:ascii="Times New Roman" w:hAnsi="Times New Roman"/>
          <w:color w:val="767171" w:themeColor="background2" w:themeShade="80"/>
          <w:sz w:val="24"/>
          <w:szCs w:val="24"/>
        </w:rPr>
        <w:t xml:space="preserve">          </w:t>
      </w:r>
      <w:r w:rsidR="00DC2C66">
        <w:rPr>
          <w:rFonts w:ascii="Times New Roman" w:hAnsi="Times New Roman"/>
          <w:color w:val="767171" w:themeColor="background2" w:themeShade="80"/>
          <w:sz w:val="24"/>
          <w:szCs w:val="24"/>
        </w:rPr>
        <w:t>Subdirector General de</w:t>
      </w:r>
    </w:p>
    <w:p w:rsidR="00DC2C66" w:rsidRPr="007455EE" w:rsidRDefault="005622EE" w:rsidP="007455EE">
      <w:pPr>
        <w:spacing w:line="240" w:lineRule="auto"/>
        <w:jc w:val="center"/>
        <w:rPr>
          <w:rFonts w:ascii="Times New Roman" w:hAnsi="Times New Roman"/>
          <w:color w:val="767171" w:themeColor="background2" w:themeShade="80"/>
          <w:sz w:val="24"/>
          <w:szCs w:val="24"/>
        </w:rPr>
        <w:sectPr w:rsidR="00DC2C66" w:rsidRPr="007455EE" w:rsidSect="005622EE">
          <w:footerReference w:type="default" r:id="rId9"/>
          <w:pgSz w:w="12242" w:h="15842" w:code="1"/>
          <w:pgMar w:top="1440" w:right="2160" w:bottom="1440" w:left="2160" w:header="709" w:footer="118" w:gutter="0"/>
          <w:cols w:space="708"/>
          <w:titlePg/>
          <w:docGrid w:linePitch="360"/>
        </w:sectPr>
      </w:pPr>
      <w:r>
        <w:rPr>
          <w:rFonts w:ascii="Times New Roman" w:hAnsi="Times New Roman"/>
          <w:color w:val="767171" w:themeColor="background2" w:themeShade="80"/>
          <w:sz w:val="24"/>
          <w:szCs w:val="24"/>
        </w:rPr>
        <w:t>Planificación y Desarrollo</w:t>
      </w:r>
      <w:r>
        <w:rPr>
          <w:rFonts w:ascii="Times New Roman" w:hAnsi="Times New Roman"/>
          <w:color w:val="767171" w:themeColor="background2" w:themeShade="80"/>
          <w:sz w:val="24"/>
          <w:szCs w:val="24"/>
        </w:rPr>
        <w:tab/>
      </w:r>
      <w:r>
        <w:rPr>
          <w:rFonts w:ascii="Times New Roman" w:hAnsi="Times New Roman"/>
          <w:color w:val="767171" w:themeColor="background2" w:themeShade="80"/>
          <w:sz w:val="24"/>
          <w:szCs w:val="24"/>
        </w:rPr>
        <w:tab/>
        <w:t xml:space="preserve">        </w:t>
      </w:r>
      <w:r w:rsidR="007455EE">
        <w:rPr>
          <w:rFonts w:ascii="Times New Roman" w:hAnsi="Times New Roman"/>
          <w:color w:val="767171" w:themeColor="background2" w:themeShade="80"/>
          <w:sz w:val="24"/>
          <w:szCs w:val="24"/>
        </w:rPr>
        <w:t xml:space="preserve">             </w:t>
      </w:r>
      <w:r w:rsidR="00DC2C66">
        <w:rPr>
          <w:rFonts w:ascii="Times New Roman" w:hAnsi="Times New Roman"/>
          <w:color w:val="767171" w:themeColor="background2" w:themeShade="80"/>
          <w:sz w:val="24"/>
          <w:szCs w:val="24"/>
        </w:rPr>
        <w:t>Planificación y Desarro</w:t>
      </w:r>
      <w:r w:rsidR="007455EE">
        <w:rPr>
          <w:rFonts w:ascii="Times New Roman" w:hAnsi="Times New Roman"/>
          <w:color w:val="767171" w:themeColor="background2" w:themeShade="80"/>
          <w:sz w:val="24"/>
          <w:szCs w:val="24"/>
        </w:rPr>
        <w:t>llo</w:t>
      </w:r>
    </w:p>
    <w:p w:rsidR="00DC2C66" w:rsidRPr="007455EE" w:rsidRDefault="00DC2C66" w:rsidP="007455EE">
      <w:pPr>
        <w:tabs>
          <w:tab w:val="left" w:pos="5910"/>
        </w:tabs>
      </w:pPr>
    </w:p>
    <w:sectPr w:rsidR="00DC2C66" w:rsidRPr="007455EE"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5A32" w:rsidRDefault="00C45A32" w:rsidP="0055607B">
      <w:pPr>
        <w:spacing w:after="0" w:line="240" w:lineRule="auto"/>
      </w:pPr>
      <w:r>
        <w:separator/>
      </w:r>
    </w:p>
  </w:endnote>
  <w:endnote w:type="continuationSeparator" w:id="0">
    <w:p w:rsidR="00C45A32" w:rsidRDefault="00C45A32" w:rsidP="005560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  <w:font w:name="Gotham Thin">
    <w:altName w:val="Calibri"/>
    <w:panose1 w:val="00000000000000000000"/>
    <w:charset w:val="00"/>
    <w:family w:val="modern"/>
    <w:notTrueType/>
    <w:pitch w:val="variable"/>
    <w:sig w:usb0="A00000AF" w:usb1="50000048" w:usb2="00000000" w:usb3="00000000" w:csb0="00000111" w:csb1="00000000"/>
  </w:font>
  <w:font w:name="Gotham">
    <w:altName w:val="Calibri"/>
    <w:charset w:val="00"/>
    <w:family w:val="auto"/>
    <w:pitch w:val="variable"/>
    <w:sig w:usb0="800000A7" w:usb1="00000000" w:usb2="00000000" w:usb3="00000000" w:csb0="00000009" w:csb1="00000000"/>
  </w:font>
  <w:font w:name="Artifex CF Extra Light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22EE" w:rsidRDefault="005622EE">
    <w:pPr>
      <w:pStyle w:val="Piedepgina"/>
      <w:jc w:val="center"/>
    </w:pPr>
  </w:p>
  <w:p w:rsidR="005622EE" w:rsidRDefault="005622EE">
    <w:pPr>
      <w:pStyle w:val="Piedepgina"/>
      <w:jc w:val="center"/>
    </w:pPr>
    <w:r>
      <w:rPr>
        <w:noProof/>
        <w:lang w:val="es-DO" w:eastAsia="es-DO"/>
      </w:rPr>
      <w:drawing>
        <wp:inline distT="0" distB="0" distL="0" distR="0" wp14:anchorId="3967F19B" wp14:editId="63ACA2F2">
          <wp:extent cx="2999740" cy="401955"/>
          <wp:effectExtent l="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99740" cy="401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622EE" w:rsidRPr="006F0C62" w:rsidRDefault="005622EE">
    <w:pPr>
      <w:pStyle w:val="Piedepgina"/>
      <w:jc w:val="center"/>
      <w:rPr>
        <w:rFonts w:ascii="Times New Roman" w:hAnsi="Times New Roman"/>
        <w:color w:val="767171"/>
      </w:rPr>
    </w:pPr>
    <w:r w:rsidRPr="006F0C62">
      <w:rPr>
        <w:rFonts w:ascii="Times New Roman" w:hAnsi="Times New Roman"/>
        <w:color w:val="767171"/>
      </w:rPr>
      <w:fldChar w:fldCharType="begin"/>
    </w:r>
    <w:r w:rsidRPr="006F0C62">
      <w:rPr>
        <w:rFonts w:ascii="Times New Roman" w:hAnsi="Times New Roman"/>
        <w:color w:val="767171"/>
      </w:rPr>
      <w:instrText>PAGE   \* MERGEFORMAT</w:instrText>
    </w:r>
    <w:r w:rsidRPr="006F0C62">
      <w:rPr>
        <w:rFonts w:ascii="Times New Roman" w:hAnsi="Times New Roman"/>
        <w:color w:val="767171"/>
      </w:rPr>
      <w:fldChar w:fldCharType="separate"/>
    </w:r>
    <w:r w:rsidR="003B4AA3">
      <w:rPr>
        <w:rFonts w:ascii="Times New Roman" w:hAnsi="Times New Roman"/>
        <w:noProof/>
        <w:color w:val="767171"/>
      </w:rPr>
      <w:t>6</w:t>
    </w:r>
    <w:r w:rsidRPr="006F0C62">
      <w:rPr>
        <w:rFonts w:ascii="Times New Roman" w:hAnsi="Times New Roman"/>
        <w:color w:val="767171"/>
      </w:rPr>
      <w:fldChar w:fldCharType="end"/>
    </w:r>
  </w:p>
  <w:p w:rsidR="005622EE" w:rsidRDefault="005622E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22EE" w:rsidRDefault="005622EE">
    <w:pPr>
      <w:pStyle w:val="Piedepgina"/>
      <w:jc w:val="center"/>
    </w:pPr>
  </w:p>
  <w:p w:rsidR="005622EE" w:rsidRDefault="005622E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5A32" w:rsidRDefault="00C45A32" w:rsidP="0055607B">
      <w:pPr>
        <w:spacing w:after="0" w:line="240" w:lineRule="auto"/>
      </w:pPr>
      <w:r>
        <w:separator/>
      </w:r>
    </w:p>
  </w:footnote>
  <w:footnote w:type="continuationSeparator" w:id="0">
    <w:p w:rsidR="00C45A32" w:rsidRDefault="00C45A32" w:rsidP="005560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72661"/>
    <w:multiLevelType w:val="hybridMultilevel"/>
    <w:tmpl w:val="3BDAA03C"/>
    <w:lvl w:ilvl="0" w:tplc="5A5CECA0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072B8E"/>
    <w:multiLevelType w:val="hybridMultilevel"/>
    <w:tmpl w:val="521EB16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8507E9"/>
    <w:multiLevelType w:val="hybridMultilevel"/>
    <w:tmpl w:val="1C3473A2"/>
    <w:lvl w:ilvl="0" w:tplc="20E2095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8E6AB4"/>
    <w:multiLevelType w:val="hybridMultilevel"/>
    <w:tmpl w:val="82F8EC26"/>
    <w:lvl w:ilvl="0" w:tplc="C36A6B9A">
      <w:start w:val="1"/>
      <w:numFmt w:val="lowerLetter"/>
      <w:lvlText w:val="%1."/>
      <w:lvlJc w:val="left"/>
      <w:pPr>
        <w:ind w:left="1212" w:hanging="408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84" w:hanging="360"/>
      </w:pPr>
    </w:lvl>
    <w:lvl w:ilvl="2" w:tplc="0C0A001B" w:tentative="1">
      <w:start w:val="1"/>
      <w:numFmt w:val="lowerRoman"/>
      <w:lvlText w:val="%3."/>
      <w:lvlJc w:val="right"/>
      <w:pPr>
        <w:ind w:left="2604" w:hanging="180"/>
      </w:pPr>
    </w:lvl>
    <w:lvl w:ilvl="3" w:tplc="0C0A000F" w:tentative="1">
      <w:start w:val="1"/>
      <w:numFmt w:val="decimal"/>
      <w:lvlText w:val="%4."/>
      <w:lvlJc w:val="left"/>
      <w:pPr>
        <w:ind w:left="3324" w:hanging="360"/>
      </w:pPr>
    </w:lvl>
    <w:lvl w:ilvl="4" w:tplc="0C0A0019" w:tentative="1">
      <w:start w:val="1"/>
      <w:numFmt w:val="lowerLetter"/>
      <w:lvlText w:val="%5."/>
      <w:lvlJc w:val="left"/>
      <w:pPr>
        <w:ind w:left="4044" w:hanging="360"/>
      </w:pPr>
    </w:lvl>
    <w:lvl w:ilvl="5" w:tplc="0C0A001B" w:tentative="1">
      <w:start w:val="1"/>
      <w:numFmt w:val="lowerRoman"/>
      <w:lvlText w:val="%6."/>
      <w:lvlJc w:val="right"/>
      <w:pPr>
        <w:ind w:left="4764" w:hanging="180"/>
      </w:pPr>
    </w:lvl>
    <w:lvl w:ilvl="6" w:tplc="0C0A000F" w:tentative="1">
      <w:start w:val="1"/>
      <w:numFmt w:val="decimal"/>
      <w:lvlText w:val="%7."/>
      <w:lvlJc w:val="left"/>
      <w:pPr>
        <w:ind w:left="5484" w:hanging="360"/>
      </w:pPr>
    </w:lvl>
    <w:lvl w:ilvl="7" w:tplc="0C0A0019" w:tentative="1">
      <w:start w:val="1"/>
      <w:numFmt w:val="lowerLetter"/>
      <w:lvlText w:val="%8."/>
      <w:lvlJc w:val="left"/>
      <w:pPr>
        <w:ind w:left="6204" w:hanging="360"/>
      </w:pPr>
    </w:lvl>
    <w:lvl w:ilvl="8" w:tplc="0C0A001B" w:tentative="1">
      <w:start w:val="1"/>
      <w:numFmt w:val="lowerRoman"/>
      <w:lvlText w:val="%9."/>
      <w:lvlJc w:val="right"/>
      <w:pPr>
        <w:ind w:left="6924" w:hanging="180"/>
      </w:pPr>
    </w:lvl>
  </w:abstractNum>
  <w:abstractNum w:abstractNumId="4" w15:restartNumberingAfterBreak="0">
    <w:nsid w:val="2CA1568C"/>
    <w:multiLevelType w:val="hybridMultilevel"/>
    <w:tmpl w:val="0422F1A8"/>
    <w:lvl w:ilvl="0" w:tplc="BE323B7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C60CCA"/>
    <w:multiLevelType w:val="hybridMultilevel"/>
    <w:tmpl w:val="EE968BAA"/>
    <w:lvl w:ilvl="0" w:tplc="7110E02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060597"/>
    <w:multiLevelType w:val="hybridMultilevel"/>
    <w:tmpl w:val="C936BDA4"/>
    <w:lvl w:ilvl="0" w:tplc="0C0A0001">
      <w:start w:val="1"/>
      <w:numFmt w:val="bullet"/>
      <w:lvlText w:val=""/>
      <w:lvlJc w:val="left"/>
      <w:pPr>
        <w:ind w:left="8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</w:abstractNum>
  <w:abstractNum w:abstractNumId="7" w15:restartNumberingAfterBreak="0">
    <w:nsid w:val="36371036"/>
    <w:multiLevelType w:val="hybridMultilevel"/>
    <w:tmpl w:val="39F24EBE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E76796"/>
    <w:multiLevelType w:val="hybridMultilevel"/>
    <w:tmpl w:val="89308DE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727A33"/>
    <w:multiLevelType w:val="hybridMultilevel"/>
    <w:tmpl w:val="6FEAE2D8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D228FB"/>
    <w:multiLevelType w:val="hybridMultilevel"/>
    <w:tmpl w:val="6FE00B8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59E61BC6"/>
    <w:multiLevelType w:val="hybridMultilevel"/>
    <w:tmpl w:val="CC383CE4"/>
    <w:lvl w:ilvl="0" w:tplc="8076A62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AC75E0"/>
    <w:multiLevelType w:val="hybridMultilevel"/>
    <w:tmpl w:val="68C0F5D2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0D16B40"/>
    <w:multiLevelType w:val="hybridMultilevel"/>
    <w:tmpl w:val="7EF03258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30770F"/>
    <w:multiLevelType w:val="hybridMultilevel"/>
    <w:tmpl w:val="760E6F52"/>
    <w:lvl w:ilvl="0" w:tplc="5A5CECA0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10"/>
  </w:num>
  <w:num w:numId="5">
    <w:abstractNumId w:val="5"/>
  </w:num>
  <w:num w:numId="6">
    <w:abstractNumId w:val="2"/>
  </w:num>
  <w:num w:numId="7">
    <w:abstractNumId w:val="4"/>
  </w:num>
  <w:num w:numId="8">
    <w:abstractNumId w:val="11"/>
  </w:num>
  <w:num w:numId="9">
    <w:abstractNumId w:val="3"/>
  </w:num>
  <w:num w:numId="10">
    <w:abstractNumId w:val="8"/>
  </w:num>
  <w:num w:numId="11">
    <w:abstractNumId w:val="0"/>
  </w:num>
  <w:num w:numId="12">
    <w:abstractNumId w:val="14"/>
  </w:num>
  <w:num w:numId="13">
    <w:abstractNumId w:val="1"/>
  </w:num>
  <w:num w:numId="14">
    <w:abstractNumId w:val="12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297C"/>
    <w:rsid w:val="001072A6"/>
    <w:rsid w:val="00170030"/>
    <w:rsid w:val="001743DA"/>
    <w:rsid w:val="001C34FB"/>
    <w:rsid w:val="002047F5"/>
    <w:rsid w:val="002677C0"/>
    <w:rsid w:val="002B5A06"/>
    <w:rsid w:val="002E5D4D"/>
    <w:rsid w:val="003025C3"/>
    <w:rsid w:val="00351E36"/>
    <w:rsid w:val="00381AC3"/>
    <w:rsid w:val="003B4AA3"/>
    <w:rsid w:val="0048138E"/>
    <w:rsid w:val="0055607B"/>
    <w:rsid w:val="005622EE"/>
    <w:rsid w:val="00587AD0"/>
    <w:rsid w:val="006271CF"/>
    <w:rsid w:val="00642481"/>
    <w:rsid w:val="006A0CE3"/>
    <w:rsid w:val="007455EE"/>
    <w:rsid w:val="00803BF4"/>
    <w:rsid w:val="00920B26"/>
    <w:rsid w:val="00A079E0"/>
    <w:rsid w:val="00A15264"/>
    <w:rsid w:val="00A62924"/>
    <w:rsid w:val="00A7775C"/>
    <w:rsid w:val="00A83BA5"/>
    <w:rsid w:val="00A95552"/>
    <w:rsid w:val="00AD58EF"/>
    <w:rsid w:val="00B271E9"/>
    <w:rsid w:val="00B55790"/>
    <w:rsid w:val="00B80A44"/>
    <w:rsid w:val="00C45A32"/>
    <w:rsid w:val="00DC2C66"/>
    <w:rsid w:val="00E6297C"/>
    <w:rsid w:val="00EC60F0"/>
    <w:rsid w:val="00F94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B8696BC-0C85-4B60-A045-1AC0D16B5C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20B2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20B2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94BB4"/>
    <w:pPr>
      <w:keepNext/>
      <w:spacing w:before="240" w:after="60" w:line="480" w:lineRule="auto"/>
      <w:jc w:val="both"/>
      <w:outlineLvl w:val="2"/>
    </w:pPr>
    <w:rPr>
      <w:rFonts w:ascii="Times New Roman" w:eastAsia="Times New Roman" w:hAnsi="Times New Roman" w:cs="Times New Roman"/>
      <w:b/>
      <w:bCs/>
      <w:color w:val="767171" w:themeColor="background2" w:themeShade="80"/>
      <w:sz w:val="24"/>
      <w:szCs w:val="26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20B2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920B2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F94BB4"/>
    <w:rPr>
      <w:rFonts w:ascii="Times New Roman" w:eastAsia="Times New Roman" w:hAnsi="Times New Roman" w:cs="Times New Roman"/>
      <w:b/>
      <w:bCs/>
      <w:color w:val="767171" w:themeColor="background2" w:themeShade="80"/>
      <w:sz w:val="24"/>
      <w:szCs w:val="26"/>
      <w:lang w:val="es-ES"/>
    </w:rPr>
  </w:style>
  <w:style w:type="paragraph" w:customStyle="1" w:styleId="Textonotasalpie">
    <w:name w:val="Texto notas al pie"/>
    <w:basedOn w:val="Normal"/>
    <w:link w:val="TextonotasalpieCar"/>
    <w:qFormat/>
    <w:rsid w:val="00F94BB4"/>
    <w:pPr>
      <w:jc w:val="both"/>
    </w:pPr>
    <w:rPr>
      <w:rFonts w:ascii="Gotham Thin" w:eastAsia="Calibri" w:hAnsi="Gotham Thin" w:cs="Times New Roman"/>
      <w:color w:val="003876"/>
      <w:sz w:val="15"/>
      <w:lang w:val="es-ES"/>
    </w:rPr>
  </w:style>
  <w:style w:type="character" w:customStyle="1" w:styleId="TextonotasalpieCar">
    <w:name w:val="Texto notas al pie Car"/>
    <w:link w:val="Textonotasalpie"/>
    <w:rsid w:val="00F94BB4"/>
    <w:rPr>
      <w:rFonts w:ascii="Gotham Thin" w:eastAsia="Calibri" w:hAnsi="Gotham Thin" w:cs="Times New Roman"/>
      <w:color w:val="003876"/>
      <w:sz w:val="15"/>
      <w:lang w:val="es-ES"/>
    </w:rPr>
  </w:style>
  <w:style w:type="paragraph" w:styleId="Prrafodelista">
    <w:name w:val="List Paragraph"/>
    <w:basedOn w:val="Normal"/>
    <w:uiPriority w:val="34"/>
    <w:qFormat/>
    <w:rsid w:val="00920B26"/>
    <w:pPr>
      <w:ind w:left="720"/>
      <w:contextualSpacing/>
    </w:pPr>
  </w:style>
  <w:style w:type="character" w:styleId="nfasisintenso">
    <w:name w:val="Intense Emphasis"/>
    <w:uiPriority w:val="21"/>
    <w:rsid w:val="00920B26"/>
    <w:rPr>
      <w:i/>
      <w:iCs/>
      <w:color w:val="5B9BD5"/>
    </w:rPr>
  </w:style>
  <w:style w:type="paragraph" w:styleId="Subttulo">
    <w:name w:val="Subtitle"/>
    <w:basedOn w:val="Normal"/>
    <w:next w:val="Normal"/>
    <w:link w:val="SubttuloCar"/>
    <w:uiPriority w:val="11"/>
    <w:qFormat/>
    <w:rsid w:val="00920B26"/>
    <w:pPr>
      <w:numPr>
        <w:ilvl w:val="1"/>
      </w:numPr>
      <w:jc w:val="center"/>
    </w:pPr>
    <w:rPr>
      <w:rFonts w:ascii="Gotham" w:eastAsia="Times New Roman" w:hAnsi="Gotham" w:cs="Times New Roman"/>
      <w:color w:val="2F5496"/>
      <w:spacing w:val="15"/>
      <w:sz w:val="16"/>
      <w:lang w:val="es-ES"/>
    </w:rPr>
  </w:style>
  <w:style w:type="character" w:customStyle="1" w:styleId="SubttuloCar">
    <w:name w:val="Subtítulo Car"/>
    <w:basedOn w:val="Fuentedeprrafopredeter"/>
    <w:link w:val="Subttulo"/>
    <w:uiPriority w:val="11"/>
    <w:rsid w:val="00920B26"/>
    <w:rPr>
      <w:rFonts w:ascii="Gotham" w:eastAsia="Times New Roman" w:hAnsi="Gotham" w:cs="Times New Roman"/>
      <w:color w:val="2F5496"/>
      <w:spacing w:val="15"/>
      <w:sz w:val="16"/>
      <w:lang w:val="es-ES"/>
    </w:rPr>
  </w:style>
  <w:style w:type="paragraph" w:styleId="TtuloTDC">
    <w:name w:val="TOC Heading"/>
    <w:basedOn w:val="Ttulo1"/>
    <w:next w:val="Normal"/>
    <w:uiPriority w:val="39"/>
    <w:unhideWhenUsed/>
    <w:qFormat/>
    <w:rsid w:val="00920B26"/>
    <w:pPr>
      <w:spacing w:line="360" w:lineRule="auto"/>
      <w:outlineLvl w:val="9"/>
    </w:pPr>
    <w:rPr>
      <w:rFonts w:ascii="Calibri Light" w:eastAsia="Times New Roman" w:hAnsi="Calibri Light" w:cs="Times New Roman"/>
      <w:color w:val="2E74B5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920B26"/>
    <w:pPr>
      <w:tabs>
        <w:tab w:val="center" w:pos="4252"/>
        <w:tab w:val="right" w:pos="8504"/>
      </w:tabs>
      <w:jc w:val="both"/>
    </w:pPr>
    <w:rPr>
      <w:rFonts w:ascii="Artifex CF Extra Light" w:eastAsia="Calibri" w:hAnsi="Artifex CF Extra Light" w:cs="Times New Roman"/>
      <w:color w:val="003876"/>
      <w:sz w:val="18"/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920B26"/>
    <w:rPr>
      <w:rFonts w:ascii="Artifex CF Extra Light" w:eastAsia="Calibri" w:hAnsi="Artifex CF Extra Light" w:cs="Times New Roman"/>
      <w:color w:val="003876"/>
      <w:sz w:val="18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920B26"/>
    <w:pPr>
      <w:tabs>
        <w:tab w:val="center" w:pos="4252"/>
        <w:tab w:val="right" w:pos="8504"/>
      </w:tabs>
      <w:jc w:val="both"/>
    </w:pPr>
    <w:rPr>
      <w:rFonts w:ascii="Artifex CF Extra Light" w:eastAsia="Calibri" w:hAnsi="Artifex CF Extra Light" w:cs="Times New Roman"/>
      <w:color w:val="003876"/>
      <w:sz w:val="18"/>
      <w:lang w:val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20B26"/>
    <w:rPr>
      <w:rFonts w:ascii="Artifex CF Extra Light" w:eastAsia="Calibri" w:hAnsi="Artifex CF Extra Light" w:cs="Times New Roman"/>
      <w:color w:val="003876"/>
      <w:sz w:val="18"/>
      <w:lang w:val="es-E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920B2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aconcuadrcula">
    <w:name w:val="Table Grid"/>
    <w:basedOn w:val="Tablanormal"/>
    <w:uiPriority w:val="59"/>
    <w:rsid w:val="00920B26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DC1">
    <w:name w:val="toc 1"/>
    <w:basedOn w:val="Normal"/>
    <w:next w:val="Normal"/>
    <w:autoRedefine/>
    <w:uiPriority w:val="39"/>
    <w:unhideWhenUsed/>
    <w:rsid w:val="00920B26"/>
    <w:pPr>
      <w:spacing w:after="100"/>
      <w:jc w:val="both"/>
    </w:pPr>
    <w:rPr>
      <w:rFonts w:ascii="Artifex CF Extra Light" w:eastAsia="Calibri" w:hAnsi="Artifex CF Extra Light" w:cs="Times New Roman"/>
      <w:color w:val="003876"/>
      <w:sz w:val="18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rsid w:val="00920B26"/>
    <w:pPr>
      <w:spacing w:after="100"/>
      <w:ind w:left="180"/>
      <w:jc w:val="both"/>
    </w:pPr>
    <w:rPr>
      <w:rFonts w:ascii="Artifex CF Extra Light" w:eastAsia="Calibri" w:hAnsi="Artifex CF Extra Light" w:cs="Times New Roman"/>
      <w:color w:val="003876"/>
      <w:sz w:val="18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rsid w:val="00920B26"/>
    <w:pPr>
      <w:spacing w:after="100"/>
      <w:ind w:left="360"/>
      <w:jc w:val="both"/>
    </w:pPr>
    <w:rPr>
      <w:rFonts w:ascii="Artifex CF Extra Light" w:eastAsia="Calibri" w:hAnsi="Artifex CF Extra Light" w:cs="Times New Roman"/>
      <w:color w:val="003876"/>
      <w:sz w:val="18"/>
      <w:lang w:val="es-ES"/>
    </w:rPr>
  </w:style>
  <w:style w:type="character" w:styleId="Hipervnculo">
    <w:name w:val="Hyperlink"/>
    <w:basedOn w:val="Fuentedeprrafopredeter"/>
    <w:uiPriority w:val="99"/>
    <w:unhideWhenUsed/>
    <w:rsid w:val="00920B26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80A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80A4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CBB6B2-EC47-4FFB-BEC7-680DE1BA9B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1475</Words>
  <Characters>8114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Fernando Bueno</dc:creator>
  <cp:keywords/>
  <dc:description/>
  <cp:lastModifiedBy>PROPIEDAD DE</cp:lastModifiedBy>
  <cp:revision>2</cp:revision>
  <cp:lastPrinted>2021-07-09T17:47:00Z</cp:lastPrinted>
  <dcterms:created xsi:type="dcterms:W3CDTF">2022-04-08T18:00:00Z</dcterms:created>
  <dcterms:modified xsi:type="dcterms:W3CDTF">2022-04-08T18:00:00Z</dcterms:modified>
</cp:coreProperties>
</file>